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9C84" w14:textId="77777777" w:rsidR="00307D6B" w:rsidRDefault="00307D6B" w:rsidP="00307D6B">
      <w:pPr>
        <w:pStyle w:val="Default"/>
      </w:pPr>
    </w:p>
    <w:p w14:paraId="4FFA1B23" w14:textId="77777777" w:rsidR="00667C64" w:rsidRDefault="00667C64" w:rsidP="00307D6B">
      <w:pPr>
        <w:pStyle w:val="Default"/>
        <w:spacing w:beforeLines="100" w:before="312" w:afterLines="100" w:after="312" w:line="480" w:lineRule="auto"/>
        <w:jc w:val="center"/>
        <w:rPr>
          <w:sz w:val="44"/>
          <w:szCs w:val="44"/>
        </w:rPr>
      </w:pPr>
    </w:p>
    <w:p w14:paraId="23DE4CF8" w14:textId="7E6A52DE" w:rsidR="00307D6B" w:rsidRPr="002C0D21" w:rsidRDefault="00307D6B" w:rsidP="00307D6B">
      <w:pPr>
        <w:pStyle w:val="Default"/>
        <w:spacing w:beforeLines="100" w:before="312" w:afterLines="100" w:after="312" w:line="480" w:lineRule="auto"/>
        <w:jc w:val="center"/>
        <w:rPr>
          <w:b/>
          <w:bCs/>
          <w:sz w:val="36"/>
          <w:szCs w:val="36"/>
        </w:rPr>
      </w:pPr>
      <w:r w:rsidRPr="002C0D21">
        <w:rPr>
          <w:rFonts w:hint="eastAsia"/>
          <w:b/>
          <w:bCs/>
          <w:sz w:val="36"/>
          <w:szCs w:val="36"/>
        </w:rPr>
        <w:t>招商证券股份有限公司</w:t>
      </w:r>
    </w:p>
    <w:p w14:paraId="223B97D8" w14:textId="3F10DC4D" w:rsidR="00307D6B" w:rsidRPr="002C0D21" w:rsidRDefault="00307D6B" w:rsidP="00307D6B">
      <w:pPr>
        <w:pStyle w:val="Default"/>
        <w:spacing w:beforeLines="100" w:before="312" w:afterLines="100" w:after="312" w:line="480" w:lineRule="auto"/>
        <w:jc w:val="center"/>
        <w:rPr>
          <w:b/>
          <w:bCs/>
          <w:sz w:val="36"/>
          <w:szCs w:val="36"/>
        </w:rPr>
      </w:pPr>
      <w:r w:rsidRPr="002C0D21">
        <w:rPr>
          <w:rFonts w:hint="eastAsia"/>
          <w:b/>
          <w:bCs/>
          <w:sz w:val="36"/>
          <w:szCs w:val="36"/>
        </w:rPr>
        <w:t>关于大唐电信科技股份有限公司</w:t>
      </w:r>
    </w:p>
    <w:p w14:paraId="3454E656" w14:textId="3B444CC4" w:rsidR="00307D6B" w:rsidRPr="002C0D21" w:rsidRDefault="00307D6B" w:rsidP="00307D6B">
      <w:pPr>
        <w:pStyle w:val="Default"/>
        <w:spacing w:beforeLines="100" w:before="312" w:afterLines="100" w:after="312" w:line="480" w:lineRule="auto"/>
        <w:jc w:val="center"/>
        <w:rPr>
          <w:b/>
          <w:bCs/>
          <w:sz w:val="36"/>
          <w:szCs w:val="36"/>
        </w:rPr>
      </w:pPr>
      <w:r w:rsidRPr="002C0D21">
        <w:rPr>
          <w:rFonts w:hint="eastAsia"/>
          <w:b/>
          <w:bCs/>
          <w:sz w:val="36"/>
          <w:szCs w:val="36"/>
        </w:rPr>
        <w:t>重大资产重组暨关联交易</w:t>
      </w:r>
    </w:p>
    <w:p w14:paraId="38153D5F" w14:textId="14176B3D" w:rsidR="00307D6B" w:rsidRPr="002C0D21" w:rsidRDefault="00307D6B" w:rsidP="00307D6B">
      <w:pPr>
        <w:pStyle w:val="Default"/>
        <w:spacing w:beforeLines="100" w:before="312" w:afterLines="100" w:after="312" w:line="480" w:lineRule="auto"/>
        <w:jc w:val="center"/>
        <w:rPr>
          <w:b/>
          <w:bCs/>
          <w:sz w:val="36"/>
          <w:szCs w:val="36"/>
        </w:rPr>
      </w:pPr>
      <w:r w:rsidRPr="002C0D21">
        <w:rPr>
          <w:rFonts w:hint="eastAsia"/>
          <w:b/>
          <w:bCs/>
          <w:sz w:val="36"/>
          <w:szCs w:val="36"/>
        </w:rPr>
        <w:t>之</w:t>
      </w:r>
    </w:p>
    <w:p w14:paraId="21E02DF8" w14:textId="0AF68324" w:rsidR="00307D6B" w:rsidRPr="002C0D21" w:rsidRDefault="00307D6B" w:rsidP="00307D6B">
      <w:pPr>
        <w:pStyle w:val="Default"/>
        <w:spacing w:beforeLines="100" w:before="312" w:afterLines="100" w:after="312" w:line="480" w:lineRule="auto"/>
        <w:jc w:val="center"/>
        <w:rPr>
          <w:rFonts w:hAnsi="Times New Roman"/>
          <w:b/>
          <w:bCs/>
          <w:sz w:val="36"/>
          <w:szCs w:val="36"/>
        </w:rPr>
      </w:pPr>
      <w:r w:rsidRPr="002C0D21">
        <w:rPr>
          <w:rFonts w:ascii="Times New Roman" w:hAnsi="Times New Roman" w:cs="Times New Roman"/>
          <w:b/>
          <w:bCs/>
          <w:sz w:val="36"/>
          <w:szCs w:val="36"/>
        </w:rPr>
        <w:t>2020</w:t>
      </w:r>
      <w:r w:rsidRPr="002C0D21">
        <w:rPr>
          <w:rFonts w:hAnsi="Times New Roman" w:hint="eastAsia"/>
          <w:b/>
          <w:bCs/>
          <w:sz w:val="36"/>
          <w:szCs w:val="36"/>
        </w:rPr>
        <w:t>年度持续督导</w:t>
      </w:r>
      <w:r w:rsidR="002C0D21" w:rsidRPr="002C0D21">
        <w:rPr>
          <w:rFonts w:hAnsi="Times New Roman" w:hint="eastAsia"/>
          <w:b/>
          <w:bCs/>
          <w:sz w:val="36"/>
          <w:szCs w:val="36"/>
        </w:rPr>
        <w:t>工作报告书</w:t>
      </w:r>
    </w:p>
    <w:p w14:paraId="64C8ED80" w14:textId="77777777" w:rsidR="00307D6B" w:rsidRDefault="00307D6B" w:rsidP="00307D6B">
      <w:pPr>
        <w:pStyle w:val="Default"/>
        <w:jc w:val="center"/>
        <w:rPr>
          <w:rFonts w:hAnsi="Times New Roman"/>
          <w:sz w:val="32"/>
          <w:szCs w:val="32"/>
        </w:rPr>
      </w:pPr>
    </w:p>
    <w:p w14:paraId="03E40A0E" w14:textId="77777777" w:rsidR="00307D6B" w:rsidRDefault="00307D6B" w:rsidP="00307D6B">
      <w:pPr>
        <w:pStyle w:val="Default"/>
        <w:jc w:val="center"/>
        <w:rPr>
          <w:rFonts w:hAnsi="Times New Roman"/>
          <w:sz w:val="32"/>
          <w:szCs w:val="32"/>
        </w:rPr>
      </w:pPr>
    </w:p>
    <w:p w14:paraId="0235509C" w14:textId="77777777" w:rsidR="00307D6B" w:rsidRDefault="00307D6B" w:rsidP="00307D6B">
      <w:pPr>
        <w:pStyle w:val="Default"/>
        <w:jc w:val="center"/>
        <w:rPr>
          <w:rFonts w:hAnsi="Times New Roman"/>
          <w:sz w:val="32"/>
          <w:szCs w:val="32"/>
        </w:rPr>
      </w:pPr>
    </w:p>
    <w:p w14:paraId="17657643" w14:textId="30677C5E" w:rsidR="00307D6B" w:rsidRDefault="00307D6B" w:rsidP="00307D6B">
      <w:pPr>
        <w:pStyle w:val="Default"/>
        <w:jc w:val="center"/>
        <w:rPr>
          <w:rFonts w:hAnsi="Times New Roman"/>
          <w:sz w:val="32"/>
          <w:szCs w:val="32"/>
        </w:rPr>
      </w:pPr>
    </w:p>
    <w:p w14:paraId="0D1AE8A9" w14:textId="5C5C4BF2" w:rsidR="00C015CA" w:rsidRDefault="00C015CA" w:rsidP="00307D6B">
      <w:pPr>
        <w:pStyle w:val="Default"/>
        <w:jc w:val="center"/>
        <w:rPr>
          <w:rFonts w:hAnsi="Times New Roman"/>
          <w:sz w:val="32"/>
          <w:szCs w:val="32"/>
        </w:rPr>
      </w:pPr>
    </w:p>
    <w:p w14:paraId="5BDA77BA" w14:textId="77777777" w:rsidR="00C015CA" w:rsidRDefault="00C015CA" w:rsidP="00307D6B">
      <w:pPr>
        <w:pStyle w:val="Default"/>
        <w:jc w:val="center"/>
        <w:rPr>
          <w:rFonts w:hAnsi="Times New Roman"/>
          <w:sz w:val="32"/>
          <w:szCs w:val="32"/>
        </w:rPr>
      </w:pPr>
    </w:p>
    <w:p w14:paraId="1834571B" w14:textId="093F534E" w:rsidR="00307D6B" w:rsidRDefault="00307D6B" w:rsidP="00307D6B">
      <w:pPr>
        <w:pStyle w:val="Default"/>
        <w:rPr>
          <w:rFonts w:hAnsi="Times New Roman"/>
          <w:sz w:val="32"/>
          <w:szCs w:val="32"/>
        </w:rPr>
      </w:pPr>
    </w:p>
    <w:p w14:paraId="00578F25" w14:textId="74A979A0" w:rsidR="00307D6B" w:rsidRPr="002C0D21" w:rsidRDefault="00307D6B" w:rsidP="00307D6B">
      <w:pPr>
        <w:pStyle w:val="Default"/>
        <w:jc w:val="center"/>
        <w:rPr>
          <w:rFonts w:hAnsi="Times New Roman"/>
          <w:b/>
          <w:bCs/>
          <w:sz w:val="32"/>
          <w:szCs w:val="32"/>
        </w:rPr>
      </w:pPr>
      <w:r w:rsidRPr="002C0D21">
        <w:rPr>
          <w:rFonts w:hAnsi="Times New Roman" w:hint="eastAsia"/>
          <w:b/>
          <w:bCs/>
          <w:sz w:val="32"/>
          <w:szCs w:val="32"/>
        </w:rPr>
        <w:t>独立财务顾问</w:t>
      </w:r>
    </w:p>
    <w:p w14:paraId="544CD1DB" w14:textId="2E09FE0A" w:rsidR="00307D6B" w:rsidRPr="002C0D21" w:rsidRDefault="00307D6B" w:rsidP="00307D6B">
      <w:pPr>
        <w:pStyle w:val="Default"/>
        <w:jc w:val="center"/>
        <w:rPr>
          <w:rFonts w:hAnsi="Times New Roman"/>
          <w:b/>
          <w:bCs/>
          <w:sz w:val="32"/>
          <w:szCs w:val="32"/>
        </w:rPr>
      </w:pPr>
      <w:r w:rsidRPr="002C0D21">
        <w:rPr>
          <w:rFonts w:ascii="Calibri" w:hAnsi="Calibri"/>
          <w:b/>
          <w:bCs/>
          <w:noProof/>
        </w:rPr>
        <w:drawing>
          <wp:inline distT="0" distB="0" distL="0" distR="0" wp14:anchorId="50639E46" wp14:editId="18BBB8B3">
            <wp:extent cx="1809749" cy="334433"/>
            <wp:effectExtent l="0" t="0" r="635" b="8890"/>
            <wp:docPr id="2049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 name="图片 2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49" cy="334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F1B9B6E" w14:textId="77777777" w:rsidR="00307D6B" w:rsidRPr="002C0D21" w:rsidRDefault="00307D6B" w:rsidP="00307D6B">
      <w:pPr>
        <w:pStyle w:val="Default"/>
        <w:rPr>
          <w:b/>
          <w:bCs/>
        </w:rPr>
      </w:pPr>
    </w:p>
    <w:p w14:paraId="3188D65C" w14:textId="721BE74B" w:rsidR="00307D6B" w:rsidRPr="002C0D21" w:rsidRDefault="00307D6B" w:rsidP="00307D6B">
      <w:pPr>
        <w:jc w:val="center"/>
        <w:rPr>
          <w:rFonts w:ascii="宋体" w:eastAsia="宋体" w:hAnsi="宋体"/>
          <w:b/>
          <w:bCs/>
          <w:sz w:val="30"/>
          <w:szCs w:val="30"/>
        </w:rPr>
      </w:pPr>
      <w:r w:rsidRPr="002C0D21">
        <w:rPr>
          <w:rFonts w:ascii="宋体" w:eastAsia="宋体" w:hAnsi="宋体"/>
          <w:b/>
          <w:bCs/>
        </w:rPr>
        <w:t xml:space="preserve"> </w:t>
      </w:r>
      <w:r w:rsidRPr="002C0D21">
        <w:rPr>
          <w:rFonts w:ascii="宋体" w:eastAsia="宋体" w:hAnsi="宋体" w:hint="eastAsia"/>
          <w:b/>
          <w:bCs/>
          <w:sz w:val="30"/>
          <w:szCs w:val="30"/>
        </w:rPr>
        <w:t>签署日期：二〇二</w:t>
      </w:r>
      <w:r w:rsidR="002C0D21" w:rsidRPr="002C0D21">
        <w:rPr>
          <w:rFonts w:ascii="宋体" w:eastAsia="宋体" w:hAnsi="宋体" w:hint="eastAsia"/>
          <w:b/>
          <w:bCs/>
          <w:sz w:val="30"/>
          <w:szCs w:val="30"/>
        </w:rPr>
        <w:t>一</w:t>
      </w:r>
      <w:r w:rsidRPr="002C0D21">
        <w:rPr>
          <w:rFonts w:ascii="宋体" w:eastAsia="宋体" w:hAnsi="宋体" w:hint="eastAsia"/>
          <w:b/>
          <w:bCs/>
          <w:sz w:val="30"/>
          <w:szCs w:val="30"/>
        </w:rPr>
        <w:t>年</w:t>
      </w:r>
      <w:r w:rsidR="002C0D21" w:rsidRPr="002C0D21">
        <w:rPr>
          <w:rFonts w:ascii="宋体" w:eastAsia="宋体" w:hAnsi="宋体" w:hint="eastAsia"/>
          <w:b/>
          <w:bCs/>
          <w:sz w:val="30"/>
          <w:szCs w:val="30"/>
        </w:rPr>
        <w:t>五</w:t>
      </w:r>
      <w:r w:rsidRPr="002C0D21">
        <w:rPr>
          <w:rFonts w:ascii="宋体" w:eastAsia="宋体" w:hAnsi="宋体" w:hint="eastAsia"/>
          <w:b/>
          <w:bCs/>
          <w:sz w:val="30"/>
          <w:szCs w:val="30"/>
        </w:rPr>
        <w:t>月</w:t>
      </w:r>
    </w:p>
    <w:p w14:paraId="332CDD48" w14:textId="77777777" w:rsidR="00307D6B" w:rsidRDefault="00307D6B">
      <w:pPr>
        <w:widowControl/>
        <w:jc w:val="left"/>
        <w:rPr>
          <w:rFonts w:ascii="宋体" w:eastAsia="宋体" w:hAnsi="宋体"/>
          <w:sz w:val="30"/>
          <w:szCs w:val="30"/>
        </w:rPr>
      </w:pPr>
      <w:r>
        <w:rPr>
          <w:rFonts w:ascii="宋体" w:eastAsia="宋体" w:hAnsi="宋体"/>
          <w:sz w:val="30"/>
          <w:szCs w:val="30"/>
        </w:rPr>
        <w:br w:type="page"/>
      </w:r>
    </w:p>
    <w:p w14:paraId="1533CDC0" w14:textId="77777777" w:rsidR="00307D6B" w:rsidRPr="00307D6B" w:rsidRDefault="00307D6B" w:rsidP="002C0D21">
      <w:pPr>
        <w:keepNext/>
        <w:keepLines/>
        <w:snapToGrid w:val="0"/>
        <w:spacing w:before="340" w:after="330" w:line="480" w:lineRule="auto"/>
        <w:jc w:val="center"/>
        <w:outlineLvl w:val="0"/>
        <w:rPr>
          <w:rFonts w:ascii="Times New Roman" w:eastAsia="黑体" w:hAnsi="Times New Roman" w:cs="Times New Roman"/>
          <w:b/>
          <w:bCs/>
          <w:w w:val="0"/>
          <w:kern w:val="44"/>
          <w:sz w:val="32"/>
          <w:szCs w:val="32"/>
        </w:rPr>
      </w:pPr>
      <w:bookmarkStart w:id="0" w:name="_Toc521257422"/>
      <w:bookmarkStart w:id="1" w:name="_Toc521269026"/>
      <w:bookmarkStart w:id="2" w:name="_Toc521332668"/>
      <w:bookmarkStart w:id="3" w:name="_Toc524081008"/>
      <w:bookmarkStart w:id="4" w:name="_Toc524555575"/>
      <w:bookmarkStart w:id="5" w:name="_Toc525303084"/>
      <w:bookmarkStart w:id="6" w:name="_Toc525629628"/>
      <w:bookmarkStart w:id="7" w:name="_Toc526526132"/>
      <w:bookmarkStart w:id="8" w:name="_Toc527417537"/>
      <w:bookmarkStart w:id="9" w:name="_Toc527459091"/>
      <w:bookmarkStart w:id="10" w:name="_Toc50052143"/>
      <w:bookmarkStart w:id="11" w:name="_Toc58421310"/>
      <w:r w:rsidRPr="00307D6B">
        <w:rPr>
          <w:rFonts w:ascii="Times New Roman" w:eastAsia="黑体" w:hAnsi="Times New Roman" w:cs="Times New Roman" w:hint="eastAsia"/>
          <w:b/>
          <w:bCs/>
          <w:w w:val="0"/>
          <w:kern w:val="44"/>
          <w:sz w:val="32"/>
          <w:szCs w:val="32"/>
        </w:rPr>
        <w:lastRenderedPageBreak/>
        <w:t>声</w:t>
      </w:r>
      <w:r w:rsidRPr="00307D6B">
        <w:rPr>
          <w:rFonts w:ascii="Times New Roman" w:eastAsia="黑体" w:hAnsi="Times New Roman" w:cs="Times New Roman"/>
          <w:b/>
          <w:bCs/>
          <w:w w:val="0"/>
          <w:kern w:val="44"/>
          <w:sz w:val="32"/>
          <w:szCs w:val="32"/>
        </w:rPr>
        <w:t xml:space="preserve"> </w:t>
      </w:r>
      <w:r w:rsidRPr="00307D6B">
        <w:rPr>
          <w:rFonts w:ascii="Times New Roman" w:eastAsia="黑体" w:hAnsi="Times New Roman" w:cs="Times New Roman" w:hint="eastAsia"/>
          <w:b/>
          <w:bCs/>
          <w:w w:val="0"/>
          <w:kern w:val="44"/>
          <w:sz w:val="32"/>
          <w:szCs w:val="32"/>
        </w:rPr>
        <w:t>明</w:t>
      </w:r>
      <w:bookmarkEnd w:id="0"/>
      <w:bookmarkEnd w:id="1"/>
      <w:bookmarkEnd w:id="2"/>
      <w:bookmarkEnd w:id="3"/>
      <w:bookmarkEnd w:id="4"/>
      <w:bookmarkEnd w:id="5"/>
      <w:bookmarkEnd w:id="6"/>
      <w:bookmarkEnd w:id="7"/>
      <w:bookmarkEnd w:id="8"/>
      <w:bookmarkEnd w:id="9"/>
      <w:bookmarkEnd w:id="10"/>
      <w:bookmarkEnd w:id="11"/>
    </w:p>
    <w:p w14:paraId="1E3E4362" w14:textId="09C00DB3" w:rsidR="002C0D21" w:rsidRDefault="002C0D21" w:rsidP="002C0D21">
      <w:pPr>
        <w:spacing w:afterLines="50" w:after="156" w:line="360" w:lineRule="auto"/>
        <w:ind w:firstLineChars="200" w:firstLine="480"/>
        <w:rPr>
          <w:rFonts w:ascii="Times New Roman" w:eastAsia="宋体" w:hAnsi="Times New Roman" w:cs="Times New Roman"/>
          <w:sz w:val="24"/>
          <w:szCs w:val="24"/>
        </w:rPr>
      </w:pPr>
      <w:r w:rsidRPr="00307D6B">
        <w:rPr>
          <w:rFonts w:ascii="Times New Roman" w:eastAsia="宋体" w:hAnsi="Times New Roman" w:cs="Times New Roman" w:hint="eastAsia"/>
          <w:sz w:val="24"/>
          <w:szCs w:val="24"/>
        </w:rPr>
        <w:t>招商证券股份有限公司</w:t>
      </w:r>
      <w:r w:rsidRPr="002C0D21">
        <w:rPr>
          <w:rFonts w:ascii="Times New Roman" w:eastAsia="宋体" w:hAnsi="Times New Roman" w:cs="Times New Roman" w:hint="eastAsia"/>
          <w:sz w:val="24"/>
          <w:szCs w:val="24"/>
        </w:rPr>
        <w:t>（以下简称“招商证券”、“独立财务顾问”）</w:t>
      </w:r>
      <w:r w:rsidRPr="00307D6B">
        <w:rPr>
          <w:rFonts w:ascii="Times New Roman" w:eastAsia="宋体" w:hAnsi="Times New Roman" w:cs="Times New Roman" w:hint="eastAsia"/>
          <w:sz w:val="24"/>
          <w:szCs w:val="24"/>
        </w:rPr>
        <w:t>接受大唐电信科技股份有限公司</w:t>
      </w:r>
      <w:r w:rsidRPr="002C0D21">
        <w:rPr>
          <w:rFonts w:ascii="Times New Roman" w:eastAsia="宋体" w:hAnsi="Times New Roman" w:cs="Times New Roman"/>
          <w:sz w:val="24"/>
          <w:szCs w:val="24"/>
        </w:rPr>
        <w:t>（以下简称</w:t>
      </w:r>
      <w:r w:rsidRPr="002C0D21">
        <w:rPr>
          <w:rFonts w:ascii="Times New Roman" w:eastAsia="宋体" w:hAnsi="Times New Roman" w:cs="Times New Roman"/>
          <w:sz w:val="24"/>
          <w:szCs w:val="24"/>
        </w:rPr>
        <w:t>“</w:t>
      </w:r>
      <w:r>
        <w:rPr>
          <w:rFonts w:ascii="Times New Roman" w:eastAsia="宋体" w:hAnsi="Times New Roman" w:cs="Times New Roman" w:hint="eastAsia"/>
          <w:sz w:val="24"/>
          <w:szCs w:val="24"/>
        </w:rPr>
        <w:t>大唐电信</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上市公司</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w:t>
      </w:r>
      <w:r w:rsidRPr="00307D6B">
        <w:rPr>
          <w:rFonts w:ascii="Times New Roman" w:eastAsia="宋体" w:hAnsi="Times New Roman" w:cs="Times New Roman" w:hint="eastAsia"/>
          <w:sz w:val="24"/>
          <w:szCs w:val="24"/>
        </w:rPr>
        <w:t>的委托，担任本次重大资产重组暨关联交易项目的独立财务顾问。</w:t>
      </w:r>
      <w:r>
        <w:rPr>
          <w:rFonts w:ascii="Times New Roman" w:eastAsia="宋体" w:hAnsi="Times New Roman" w:cs="Times New Roman" w:hint="eastAsia"/>
          <w:sz w:val="24"/>
          <w:szCs w:val="24"/>
        </w:rPr>
        <w:t>根据</w:t>
      </w:r>
      <w:r w:rsidRPr="00307D6B">
        <w:rPr>
          <w:rFonts w:ascii="Times New Roman" w:eastAsia="宋体" w:hAnsi="Times New Roman" w:cs="Times New Roman" w:hint="eastAsia"/>
          <w:sz w:val="24"/>
          <w:szCs w:val="24"/>
        </w:rPr>
        <w:t>《公司法》、《证券法》、《上市公司重大资产重组管理办法》、《财务顾问业务管理办法》、《公开发行证券的公司信息披露内容与格式准则第</w:t>
      </w:r>
      <w:r w:rsidRPr="00307D6B">
        <w:rPr>
          <w:rFonts w:ascii="Times New Roman" w:eastAsia="宋体" w:hAnsi="Times New Roman" w:cs="Times New Roman" w:hint="eastAsia"/>
          <w:sz w:val="24"/>
          <w:szCs w:val="24"/>
        </w:rPr>
        <w:t xml:space="preserve">26 </w:t>
      </w:r>
      <w:r w:rsidRPr="00307D6B">
        <w:rPr>
          <w:rFonts w:ascii="Times New Roman" w:eastAsia="宋体" w:hAnsi="Times New Roman" w:cs="Times New Roman" w:hint="eastAsia"/>
          <w:sz w:val="24"/>
          <w:szCs w:val="24"/>
        </w:rPr>
        <w:t>号——上市公司重大资产重组》等法律、法规的有关规定和要求，按照行业公认的业务标准、道德规范，本着诚实信用和勤勉尽责的原则，</w:t>
      </w:r>
      <w:r w:rsidRPr="002C0D21">
        <w:rPr>
          <w:rFonts w:ascii="Times New Roman" w:eastAsia="宋体" w:hAnsi="Times New Roman" w:cs="Times New Roman" w:hint="eastAsia"/>
          <w:sz w:val="24"/>
          <w:szCs w:val="24"/>
        </w:rPr>
        <w:t>在认真审阅相关资料和充分了解本次交易行为的基础上，</w:t>
      </w:r>
      <w:proofErr w:type="gramStart"/>
      <w:r w:rsidRPr="002C0D21">
        <w:rPr>
          <w:rFonts w:ascii="Times New Roman" w:eastAsia="宋体" w:hAnsi="Times New Roman" w:cs="Times New Roman"/>
          <w:sz w:val="24"/>
          <w:szCs w:val="24"/>
        </w:rPr>
        <w:t>本独立</w:t>
      </w:r>
      <w:proofErr w:type="gramEnd"/>
      <w:r w:rsidRPr="002C0D21">
        <w:rPr>
          <w:rFonts w:ascii="Times New Roman" w:eastAsia="宋体" w:hAnsi="Times New Roman" w:cs="Times New Roman"/>
          <w:sz w:val="24"/>
          <w:szCs w:val="24"/>
        </w:rPr>
        <w:t>财务顾问经过审慎核查，出具本报告书。</w:t>
      </w:r>
    </w:p>
    <w:p w14:paraId="1A50B53B" w14:textId="7D6AAAD6" w:rsidR="002C0D21" w:rsidRPr="00307D6B" w:rsidRDefault="002C0D21" w:rsidP="002C0D21">
      <w:pPr>
        <w:spacing w:afterLines="50" w:after="156" w:line="360" w:lineRule="auto"/>
        <w:ind w:firstLineChars="200" w:firstLine="480"/>
        <w:rPr>
          <w:rFonts w:ascii="Times New Roman" w:eastAsia="宋体" w:hAnsi="Times New Roman" w:cs="Times New Roman"/>
          <w:sz w:val="24"/>
          <w:szCs w:val="24"/>
        </w:rPr>
      </w:pPr>
      <w:r w:rsidRPr="00307D6B">
        <w:rPr>
          <w:rFonts w:ascii="Times New Roman" w:eastAsia="宋体" w:hAnsi="Times New Roman" w:cs="Times New Roman" w:hint="eastAsia"/>
          <w:sz w:val="24"/>
          <w:szCs w:val="24"/>
        </w:rPr>
        <w:t>1</w:t>
      </w:r>
      <w:r w:rsidRPr="00307D6B">
        <w:rPr>
          <w:rFonts w:ascii="Times New Roman" w:eastAsia="宋体" w:hAnsi="Times New Roman" w:cs="Times New Roman" w:hint="eastAsia"/>
          <w:sz w:val="24"/>
          <w:szCs w:val="24"/>
        </w:rPr>
        <w:t>、本</w:t>
      </w:r>
      <w:r>
        <w:rPr>
          <w:rFonts w:ascii="Times New Roman" w:eastAsia="宋体" w:hAnsi="Times New Roman" w:cs="Times New Roman" w:hint="eastAsia"/>
          <w:sz w:val="24"/>
          <w:szCs w:val="24"/>
        </w:rPr>
        <w:t>报告书</w:t>
      </w:r>
      <w:r w:rsidRPr="00307D6B">
        <w:rPr>
          <w:rFonts w:ascii="Times New Roman" w:eastAsia="宋体" w:hAnsi="Times New Roman" w:cs="Times New Roman" w:hint="eastAsia"/>
          <w:sz w:val="24"/>
          <w:szCs w:val="24"/>
        </w:rPr>
        <w:t>所依据的文件、材料由交易各方提供，本次交易各方均已向</w:t>
      </w:r>
      <w:proofErr w:type="gramStart"/>
      <w:r w:rsidRPr="00307D6B">
        <w:rPr>
          <w:rFonts w:ascii="Times New Roman" w:eastAsia="宋体" w:hAnsi="Times New Roman" w:cs="Times New Roman" w:hint="eastAsia"/>
          <w:sz w:val="24"/>
          <w:szCs w:val="24"/>
        </w:rPr>
        <w:t>本独立</w:t>
      </w:r>
      <w:proofErr w:type="gramEnd"/>
      <w:r w:rsidRPr="00307D6B">
        <w:rPr>
          <w:rFonts w:ascii="Times New Roman" w:eastAsia="宋体" w:hAnsi="Times New Roman" w:cs="Times New Roman" w:hint="eastAsia"/>
          <w:sz w:val="24"/>
          <w:szCs w:val="24"/>
        </w:rPr>
        <w:t>财务顾问保证：其所提供的有关本次重大资产重组的相关信息真实、准确和完整，没有虚假记载、误导性陈述或者重大遗漏。</w:t>
      </w:r>
    </w:p>
    <w:p w14:paraId="254560AB" w14:textId="77777777" w:rsidR="002C0D21" w:rsidRPr="00307D6B" w:rsidRDefault="002C0D21" w:rsidP="002C0D21">
      <w:pPr>
        <w:spacing w:afterLines="50" w:after="156" w:line="360" w:lineRule="auto"/>
        <w:ind w:firstLineChars="200" w:firstLine="480"/>
        <w:rPr>
          <w:rFonts w:ascii="Times New Roman" w:eastAsia="宋体" w:hAnsi="Times New Roman" w:cs="Times New Roman"/>
          <w:sz w:val="24"/>
          <w:szCs w:val="24"/>
        </w:rPr>
      </w:pPr>
      <w:r w:rsidRPr="00307D6B">
        <w:rPr>
          <w:rFonts w:ascii="Times New Roman" w:eastAsia="宋体" w:hAnsi="Times New Roman" w:cs="Times New Roman" w:hint="eastAsia"/>
          <w:sz w:val="24"/>
          <w:szCs w:val="24"/>
        </w:rPr>
        <w:t>2</w:t>
      </w:r>
      <w:r w:rsidRPr="00307D6B">
        <w:rPr>
          <w:rFonts w:ascii="Times New Roman" w:eastAsia="宋体" w:hAnsi="Times New Roman" w:cs="Times New Roman" w:hint="eastAsia"/>
          <w:sz w:val="24"/>
          <w:szCs w:val="24"/>
        </w:rPr>
        <w:t>、</w:t>
      </w:r>
      <w:proofErr w:type="gramStart"/>
      <w:r w:rsidRPr="00307D6B">
        <w:rPr>
          <w:rFonts w:ascii="Times New Roman" w:eastAsia="宋体" w:hAnsi="Times New Roman" w:cs="Times New Roman" w:hint="eastAsia"/>
          <w:sz w:val="24"/>
          <w:szCs w:val="24"/>
        </w:rPr>
        <w:t>本独立</w:t>
      </w:r>
      <w:proofErr w:type="gramEnd"/>
      <w:r w:rsidRPr="00307D6B">
        <w:rPr>
          <w:rFonts w:ascii="Times New Roman" w:eastAsia="宋体" w:hAnsi="Times New Roman" w:cs="Times New Roman" w:hint="eastAsia"/>
          <w:sz w:val="24"/>
          <w:szCs w:val="24"/>
        </w:rPr>
        <w:t>财务顾问已按照规定履行尽职调查义务，有充分理由确信所发表的专业意见与上市公司披露的文件内容不存在实质性差异。</w:t>
      </w:r>
    </w:p>
    <w:p w14:paraId="719A377E" w14:textId="5C4C2673" w:rsidR="002C0D21" w:rsidRPr="00307D6B" w:rsidRDefault="002C0D21" w:rsidP="002C0D21">
      <w:pPr>
        <w:spacing w:afterLines="50" w:after="156" w:line="360" w:lineRule="auto"/>
        <w:ind w:firstLineChars="200" w:firstLine="480"/>
        <w:rPr>
          <w:rFonts w:ascii="Times New Roman" w:eastAsia="宋体" w:hAnsi="Times New Roman" w:cs="Times New Roman"/>
          <w:sz w:val="24"/>
          <w:szCs w:val="24"/>
        </w:rPr>
      </w:pPr>
      <w:r w:rsidRPr="00307D6B">
        <w:rPr>
          <w:rFonts w:ascii="Times New Roman" w:eastAsia="宋体" w:hAnsi="Times New Roman" w:cs="Times New Roman" w:hint="eastAsia"/>
          <w:sz w:val="24"/>
          <w:szCs w:val="24"/>
        </w:rPr>
        <w:t>3</w:t>
      </w:r>
      <w:r w:rsidRPr="00307D6B">
        <w:rPr>
          <w:rFonts w:ascii="Times New Roman" w:eastAsia="宋体" w:hAnsi="Times New Roman" w:cs="Times New Roman" w:hint="eastAsia"/>
          <w:sz w:val="24"/>
          <w:szCs w:val="24"/>
        </w:rPr>
        <w:t>、本</w:t>
      </w:r>
      <w:r w:rsidR="009C2B39">
        <w:rPr>
          <w:rFonts w:ascii="Times New Roman" w:eastAsia="宋体" w:hAnsi="Times New Roman" w:cs="Times New Roman" w:hint="eastAsia"/>
          <w:sz w:val="24"/>
          <w:szCs w:val="24"/>
        </w:rPr>
        <w:t>报告书</w:t>
      </w:r>
      <w:r w:rsidRPr="00307D6B">
        <w:rPr>
          <w:rFonts w:ascii="Times New Roman" w:eastAsia="宋体" w:hAnsi="Times New Roman" w:cs="Times New Roman" w:hint="eastAsia"/>
          <w:sz w:val="24"/>
          <w:szCs w:val="24"/>
        </w:rPr>
        <w:t>不构成对上市公司的任何投资建议，投资者根据本</w:t>
      </w:r>
      <w:r w:rsidR="009C2B39">
        <w:rPr>
          <w:rFonts w:ascii="Times New Roman" w:eastAsia="宋体" w:hAnsi="Times New Roman" w:cs="Times New Roman" w:hint="eastAsia"/>
          <w:sz w:val="24"/>
          <w:szCs w:val="24"/>
        </w:rPr>
        <w:t>报告书</w:t>
      </w:r>
      <w:r w:rsidRPr="00307D6B">
        <w:rPr>
          <w:rFonts w:ascii="Times New Roman" w:eastAsia="宋体" w:hAnsi="Times New Roman" w:cs="Times New Roman" w:hint="eastAsia"/>
          <w:sz w:val="24"/>
          <w:szCs w:val="24"/>
        </w:rPr>
        <w:t>所做出的任何投资决策而产生的相应风险，</w:t>
      </w:r>
      <w:proofErr w:type="gramStart"/>
      <w:r w:rsidRPr="00307D6B">
        <w:rPr>
          <w:rFonts w:ascii="Times New Roman" w:eastAsia="宋体" w:hAnsi="Times New Roman" w:cs="Times New Roman" w:hint="eastAsia"/>
          <w:sz w:val="24"/>
          <w:szCs w:val="24"/>
        </w:rPr>
        <w:t>本独立</w:t>
      </w:r>
      <w:proofErr w:type="gramEnd"/>
      <w:r w:rsidRPr="00307D6B">
        <w:rPr>
          <w:rFonts w:ascii="Times New Roman" w:eastAsia="宋体" w:hAnsi="Times New Roman" w:cs="Times New Roman" w:hint="eastAsia"/>
          <w:sz w:val="24"/>
          <w:szCs w:val="24"/>
        </w:rPr>
        <w:t>财务顾问不承担任何责任。</w:t>
      </w:r>
    </w:p>
    <w:p w14:paraId="27DA39E3" w14:textId="1315B096" w:rsidR="002C0D21" w:rsidRPr="002C0D21" w:rsidRDefault="002C0D21" w:rsidP="002C0D21">
      <w:pPr>
        <w:spacing w:afterLines="50" w:after="156" w:line="360" w:lineRule="auto"/>
        <w:ind w:firstLineChars="200" w:firstLine="480"/>
        <w:rPr>
          <w:rFonts w:ascii="Times New Roman" w:eastAsia="宋体" w:hAnsi="Times New Roman" w:cs="Times New Roman"/>
          <w:sz w:val="24"/>
          <w:szCs w:val="24"/>
        </w:rPr>
      </w:pPr>
      <w:r w:rsidRPr="00307D6B">
        <w:rPr>
          <w:rFonts w:ascii="Times New Roman" w:eastAsia="宋体" w:hAnsi="Times New Roman" w:cs="Times New Roman" w:hint="eastAsia"/>
          <w:sz w:val="24"/>
          <w:szCs w:val="24"/>
        </w:rPr>
        <w:t>4</w:t>
      </w:r>
      <w:r w:rsidRPr="00307D6B">
        <w:rPr>
          <w:rFonts w:ascii="Times New Roman" w:eastAsia="宋体" w:hAnsi="Times New Roman" w:cs="Times New Roman" w:hint="eastAsia"/>
          <w:sz w:val="24"/>
          <w:szCs w:val="24"/>
        </w:rPr>
        <w:t>、</w:t>
      </w:r>
      <w:proofErr w:type="gramStart"/>
      <w:r w:rsidRPr="00307D6B">
        <w:rPr>
          <w:rFonts w:ascii="Times New Roman" w:eastAsia="宋体" w:hAnsi="Times New Roman" w:cs="Times New Roman" w:hint="eastAsia"/>
          <w:sz w:val="24"/>
          <w:szCs w:val="24"/>
        </w:rPr>
        <w:t>本独立</w:t>
      </w:r>
      <w:proofErr w:type="gramEnd"/>
      <w:r w:rsidRPr="00307D6B">
        <w:rPr>
          <w:rFonts w:ascii="Times New Roman" w:eastAsia="宋体" w:hAnsi="Times New Roman" w:cs="Times New Roman" w:hint="eastAsia"/>
          <w:sz w:val="24"/>
          <w:szCs w:val="24"/>
        </w:rPr>
        <w:t>财务顾问未委托和授权任何其它机构和个人提供未在本</w:t>
      </w:r>
      <w:r w:rsidR="009C2B39">
        <w:rPr>
          <w:rFonts w:ascii="Times New Roman" w:eastAsia="宋体" w:hAnsi="Times New Roman" w:cs="Times New Roman" w:hint="eastAsia"/>
          <w:sz w:val="24"/>
          <w:szCs w:val="24"/>
        </w:rPr>
        <w:t>报告书</w:t>
      </w:r>
      <w:r w:rsidRPr="00307D6B">
        <w:rPr>
          <w:rFonts w:ascii="Times New Roman" w:eastAsia="宋体" w:hAnsi="Times New Roman" w:cs="Times New Roman" w:hint="eastAsia"/>
          <w:sz w:val="24"/>
          <w:szCs w:val="24"/>
        </w:rPr>
        <w:t>中列载的信息和对本</w:t>
      </w:r>
      <w:r w:rsidR="009C2B39">
        <w:rPr>
          <w:rFonts w:ascii="Times New Roman" w:eastAsia="宋体" w:hAnsi="Times New Roman" w:cs="Times New Roman" w:hint="eastAsia"/>
          <w:sz w:val="24"/>
          <w:szCs w:val="24"/>
        </w:rPr>
        <w:t>报告书</w:t>
      </w:r>
      <w:r w:rsidRPr="00307D6B">
        <w:rPr>
          <w:rFonts w:ascii="Times New Roman" w:eastAsia="宋体" w:hAnsi="Times New Roman" w:cs="Times New Roman" w:hint="eastAsia"/>
          <w:sz w:val="24"/>
          <w:szCs w:val="24"/>
        </w:rPr>
        <w:t>做任何解释或者说明。</w:t>
      </w:r>
    </w:p>
    <w:p w14:paraId="0F1F2339" w14:textId="783176FE" w:rsidR="002C0D21" w:rsidRDefault="002C0D21" w:rsidP="002C0D21">
      <w:pPr>
        <w:spacing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5</w:t>
      </w:r>
      <w:r w:rsidRPr="002C0D21">
        <w:rPr>
          <w:rFonts w:ascii="Times New Roman" w:eastAsia="宋体" w:hAnsi="Times New Roman" w:cs="Times New Roman"/>
          <w:sz w:val="24"/>
          <w:szCs w:val="24"/>
        </w:rPr>
        <w:t>、</w:t>
      </w:r>
      <w:proofErr w:type="gramStart"/>
      <w:r w:rsidRPr="002C0D21">
        <w:rPr>
          <w:rFonts w:ascii="Times New Roman" w:eastAsia="宋体" w:hAnsi="Times New Roman" w:cs="Times New Roman"/>
          <w:sz w:val="24"/>
          <w:szCs w:val="24"/>
        </w:rPr>
        <w:t>本独立</w:t>
      </w:r>
      <w:proofErr w:type="gramEnd"/>
      <w:r w:rsidRPr="002C0D21">
        <w:rPr>
          <w:rFonts w:ascii="Times New Roman" w:eastAsia="宋体" w:hAnsi="Times New Roman" w:cs="Times New Roman"/>
          <w:sz w:val="24"/>
          <w:szCs w:val="24"/>
        </w:rPr>
        <w:t>财务顾问提请投资者认真阅读</w:t>
      </w:r>
      <w:r>
        <w:rPr>
          <w:rFonts w:ascii="Times New Roman" w:eastAsia="宋体" w:hAnsi="Times New Roman" w:cs="Times New Roman" w:hint="eastAsia"/>
          <w:sz w:val="24"/>
          <w:szCs w:val="24"/>
        </w:rPr>
        <w:t>大唐电信</w:t>
      </w:r>
      <w:r w:rsidRPr="002C0D21">
        <w:rPr>
          <w:rFonts w:ascii="Times New Roman" w:eastAsia="宋体" w:hAnsi="Times New Roman" w:cs="Times New Roman"/>
          <w:sz w:val="24"/>
          <w:szCs w:val="24"/>
        </w:rPr>
        <w:t>发布的与本次交易相关的文件全文。</w:t>
      </w:r>
    </w:p>
    <w:p w14:paraId="11BC0416" w14:textId="77777777" w:rsidR="002C0D21" w:rsidRDefault="002C0D21" w:rsidP="00307D6B">
      <w:pPr>
        <w:spacing w:afterLines="50" w:after="156" w:line="360" w:lineRule="auto"/>
        <w:ind w:firstLineChars="200" w:firstLine="480"/>
        <w:rPr>
          <w:rFonts w:ascii="Times New Roman" w:eastAsia="宋体" w:hAnsi="Times New Roman" w:cs="Times New Roman"/>
          <w:sz w:val="24"/>
          <w:szCs w:val="24"/>
        </w:rPr>
      </w:pPr>
    </w:p>
    <w:p w14:paraId="7345AECB" w14:textId="77777777" w:rsidR="00C015CA" w:rsidRDefault="00C015CA">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6A91DE1B" w14:textId="77777777" w:rsidR="00C015CA" w:rsidRPr="00C015CA" w:rsidRDefault="00C015CA" w:rsidP="00C015CA">
      <w:pPr>
        <w:snapToGrid w:val="0"/>
        <w:spacing w:before="340" w:after="330" w:line="360" w:lineRule="auto"/>
        <w:jc w:val="center"/>
        <w:outlineLvl w:val="0"/>
        <w:rPr>
          <w:rFonts w:ascii="黑体" w:eastAsia="黑体" w:hAnsi="黑体" w:cs="Times New Roman"/>
          <w:b/>
          <w:bCs/>
          <w:sz w:val="32"/>
          <w:szCs w:val="32"/>
        </w:rPr>
      </w:pPr>
      <w:bookmarkStart w:id="12" w:name="_Toc50052165"/>
      <w:bookmarkStart w:id="13" w:name="_Toc58421311"/>
      <w:r w:rsidRPr="00C015CA">
        <w:rPr>
          <w:rFonts w:ascii="黑体" w:eastAsia="黑体" w:hAnsi="黑体" w:cs="Times New Roman" w:hint="eastAsia"/>
          <w:b/>
          <w:bCs/>
          <w:sz w:val="32"/>
          <w:szCs w:val="32"/>
        </w:rPr>
        <w:lastRenderedPageBreak/>
        <w:t>释</w:t>
      </w:r>
      <w:r w:rsidRPr="00C015CA">
        <w:rPr>
          <w:rFonts w:ascii="黑体" w:eastAsia="黑体" w:hAnsi="黑体" w:cs="Times New Roman"/>
          <w:b/>
          <w:bCs/>
          <w:sz w:val="32"/>
          <w:szCs w:val="32"/>
        </w:rPr>
        <w:t xml:space="preserve">  </w:t>
      </w:r>
      <w:r w:rsidRPr="00C015CA">
        <w:rPr>
          <w:rFonts w:ascii="黑体" w:eastAsia="黑体" w:hAnsi="黑体" w:cs="Times New Roman" w:hint="eastAsia"/>
          <w:b/>
          <w:bCs/>
          <w:sz w:val="32"/>
          <w:szCs w:val="32"/>
        </w:rPr>
        <w:t>义</w:t>
      </w:r>
      <w:bookmarkEnd w:id="12"/>
      <w:bookmarkEnd w:id="13"/>
    </w:p>
    <w:p w14:paraId="7902A352" w14:textId="40F234BE" w:rsidR="00C015CA" w:rsidRPr="00C015CA" w:rsidRDefault="00C015CA" w:rsidP="002C0D21">
      <w:pPr>
        <w:snapToGrid w:val="0"/>
        <w:spacing w:line="360" w:lineRule="auto"/>
        <w:ind w:firstLineChars="200" w:firstLine="480"/>
        <w:rPr>
          <w:rFonts w:ascii="Times New Roman" w:eastAsia="宋体" w:hAnsi="Times New Roman" w:cs="Times New Roman"/>
          <w:sz w:val="24"/>
          <w:szCs w:val="24"/>
        </w:rPr>
      </w:pPr>
      <w:r w:rsidRPr="00C015CA">
        <w:rPr>
          <w:rFonts w:ascii="Times New Roman" w:eastAsia="宋体" w:hAnsi="Times New Roman" w:cs="Times New Roman" w:hint="eastAsia"/>
          <w:sz w:val="24"/>
          <w:szCs w:val="24"/>
        </w:rPr>
        <w:t>本</w:t>
      </w:r>
      <w:r w:rsidR="002C0D21">
        <w:rPr>
          <w:rFonts w:ascii="Times New Roman" w:eastAsia="宋体" w:hAnsi="Times New Roman" w:cs="Times New Roman" w:hint="eastAsia"/>
          <w:sz w:val="24"/>
          <w:szCs w:val="24"/>
        </w:rPr>
        <w:t>报告书</w:t>
      </w:r>
      <w:r w:rsidRPr="00C015CA">
        <w:rPr>
          <w:rFonts w:ascii="Times New Roman" w:eastAsia="宋体" w:hAnsi="Times New Roman" w:cs="Times New Roman" w:hint="eastAsia"/>
          <w:sz w:val="24"/>
          <w:szCs w:val="24"/>
        </w:rPr>
        <w:t>中，除非文意另有所指，下列简称具有如下含义：</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76"/>
        <w:gridCol w:w="722"/>
        <w:gridCol w:w="5685"/>
      </w:tblGrid>
      <w:tr w:rsidR="00C015CA" w:rsidRPr="00C015CA" w14:paraId="5471A77A" w14:textId="77777777" w:rsidTr="009833A8">
        <w:trPr>
          <w:trHeight w:val="340"/>
        </w:trPr>
        <w:tc>
          <w:tcPr>
            <w:tcW w:w="1132" w:type="pct"/>
            <w:vAlign w:val="center"/>
          </w:tcPr>
          <w:p w14:paraId="7540881B" w14:textId="77777777"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大唐电信、上市公司</w:t>
            </w:r>
            <w:r w:rsidRPr="00C015CA">
              <w:rPr>
                <w:rFonts w:ascii="Times New Roman" w:eastAsia="宋体" w:hAnsi="Times New Roman" w:cs="Times New Roman" w:hint="eastAsia"/>
                <w:sz w:val="24"/>
                <w:szCs w:val="24"/>
              </w:rPr>
              <w:t>、本公司</w:t>
            </w:r>
          </w:p>
        </w:tc>
        <w:tc>
          <w:tcPr>
            <w:tcW w:w="436" w:type="pct"/>
            <w:vAlign w:val="center"/>
          </w:tcPr>
          <w:p w14:paraId="47B275CF" w14:textId="77777777" w:rsidR="00C015CA" w:rsidRPr="00C015CA" w:rsidRDefault="00C015CA" w:rsidP="00C015CA">
            <w:pPr>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rPr>
              <w:t>指</w:t>
            </w:r>
          </w:p>
        </w:tc>
        <w:tc>
          <w:tcPr>
            <w:tcW w:w="3432" w:type="pct"/>
            <w:vAlign w:val="center"/>
          </w:tcPr>
          <w:p w14:paraId="245E65BC" w14:textId="77777777"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大唐电信科技股份有限公司</w:t>
            </w:r>
          </w:p>
        </w:tc>
      </w:tr>
      <w:tr w:rsidR="00C015CA" w:rsidRPr="00C015CA" w14:paraId="266A1327" w14:textId="77777777" w:rsidTr="009833A8">
        <w:trPr>
          <w:trHeight w:val="340"/>
        </w:trPr>
        <w:tc>
          <w:tcPr>
            <w:tcW w:w="1132" w:type="pct"/>
            <w:vAlign w:val="center"/>
          </w:tcPr>
          <w:p w14:paraId="2732C66B" w14:textId="77777777" w:rsidR="00C015CA" w:rsidRPr="00C015CA" w:rsidRDefault="00C015CA" w:rsidP="00C015CA">
            <w:pPr>
              <w:snapToGrid w:val="0"/>
              <w:rPr>
                <w:rFonts w:ascii="Times New Roman" w:eastAsia="宋体" w:hAnsi="Times New Roman" w:cs="Times New Roman"/>
                <w:sz w:val="24"/>
                <w:szCs w:val="24"/>
              </w:rPr>
            </w:pPr>
            <w:bookmarkStart w:id="14" w:name="_Hlk42260937"/>
            <w:r w:rsidRPr="00C015CA">
              <w:rPr>
                <w:rFonts w:ascii="Times New Roman" w:eastAsia="宋体" w:hAnsi="Times New Roman" w:cs="Times New Roman"/>
                <w:sz w:val="24"/>
                <w:szCs w:val="24"/>
              </w:rPr>
              <w:t>电信科研院</w:t>
            </w:r>
            <w:bookmarkEnd w:id="14"/>
          </w:p>
        </w:tc>
        <w:tc>
          <w:tcPr>
            <w:tcW w:w="436" w:type="pct"/>
            <w:vAlign w:val="center"/>
          </w:tcPr>
          <w:p w14:paraId="61F2BB34" w14:textId="77777777" w:rsidR="00C015CA" w:rsidRPr="00C015CA" w:rsidRDefault="00C015CA" w:rsidP="00C015CA">
            <w:pPr>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rPr>
              <w:t>指</w:t>
            </w:r>
          </w:p>
        </w:tc>
        <w:tc>
          <w:tcPr>
            <w:tcW w:w="3432" w:type="pct"/>
            <w:vAlign w:val="center"/>
          </w:tcPr>
          <w:p w14:paraId="3804ACE8" w14:textId="77777777"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电信科学技术研究院有限公司</w:t>
            </w:r>
          </w:p>
        </w:tc>
      </w:tr>
      <w:tr w:rsidR="00C015CA" w:rsidRPr="00C015CA" w14:paraId="0067DDB2" w14:textId="77777777" w:rsidTr="009833A8">
        <w:trPr>
          <w:trHeight w:val="340"/>
        </w:trPr>
        <w:tc>
          <w:tcPr>
            <w:tcW w:w="1132" w:type="pct"/>
            <w:vAlign w:val="center"/>
          </w:tcPr>
          <w:p w14:paraId="4E6D94F6"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中国信科</w:t>
            </w:r>
          </w:p>
        </w:tc>
        <w:tc>
          <w:tcPr>
            <w:tcW w:w="436" w:type="pct"/>
            <w:vAlign w:val="center"/>
          </w:tcPr>
          <w:p w14:paraId="5CF87A61"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437BD359"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中国信息通信科技集团有限公司</w:t>
            </w:r>
          </w:p>
        </w:tc>
      </w:tr>
      <w:tr w:rsidR="00C015CA" w:rsidRPr="00C015CA" w14:paraId="1AFEC5E5" w14:textId="77777777" w:rsidTr="009833A8">
        <w:trPr>
          <w:trHeight w:val="340"/>
        </w:trPr>
        <w:tc>
          <w:tcPr>
            <w:tcW w:w="1132" w:type="pct"/>
            <w:vAlign w:val="center"/>
          </w:tcPr>
          <w:p w14:paraId="2BB09968"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联芯科技</w:t>
            </w:r>
            <w:proofErr w:type="gramEnd"/>
          </w:p>
        </w:tc>
        <w:tc>
          <w:tcPr>
            <w:tcW w:w="436" w:type="pct"/>
            <w:vAlign w:val="center"/>
          </w:tcPr>
          <w:p w14:paraId="30F9F6E9"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00821F7E"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联芯科技</w:t>
            </w:r>
            <w:proofErr w:type="gramEnd"/>
            <w:r w:rsidRPr="00C015CA">
              <w:rPr>
                <w:rFonts w:ascii="Times New Roman" w:eastAsia="宋体" w:hAnsi="Times New Roman" w:cs="Times New Roman"/>
                <w:color w:val="000000"/>
                <w:sz w:val="24"/>
                <w:szCs w:val="24"/>
              </w:rPr>
              <w:t>有限公司，大唐电信控股子公司</w:t>
            </w:r>
          </w:p>
        </w:tc>
      </w:tr>
      <w:tr w:rsidR="00C015CA" w:rsidRPr="00C015CA" w14:paraId="22AD8BD4" w14:textId="77777777" w:rsidTr="009833A8">
        <w:trPr>
          <w:trHeight w:val="340"/>
        </w:trPr>
        <w:tc>
          <w:tcPr>
            <w:tcW w:w="1132" w:type="pct"/>
            <w:vAlign w:val="center"/>
          </w:tcPr>
          <w:p w14:paraId="3AFAA09C"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大唐联诚</w:t>
            </w:r>
            <w:proofErr w:type="gramEnd"/>
          </w:p>
        </w:tc>
        <w:tc>
          <w:tcPr>
            <w:tcW w:w="436" w:type="pct"/>
            <w:vAlign w:val="center"/>
          </w:tcPr>
          <w:p w14:paraId="3BF04B6A"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0C89EF49"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大唐联诚</w:t>
            </w:r>
            <w:proofErr w:type="gramEnd"/>
            <w:r w:rsidRPr="00C015CA">
              <w:rPr>
                <w:rFonts w:ascii="Times New Roman" w:eastAsia="宋体" w:hAnsi="Times New Roman" w:cs="Times New Roman"/>
                <w:color w:val="000000"/>
                <w:sz w:val="24"/>
                <w:szCs w:val="24"/>
              </w:rPr>
              <w:t>信息系统技术有限公司</w:t>
            </w:r>
          </w:p>
        </w:tc>
      </w:tr>
      <w:tr w:rsidR="00C015CA" w:rsidRPr="00C015CA" w14:paraId="34DFCE55" w14:textId="77777777" w:rsidTr="009833A8">
        <w:trPr>
          <w:trHeight w:val="340"/>
        </w:trPr>
        <w:tc>
          <w:tcPr>
            <w:tcW w:w="1132" w:type="pct"/>
            <w:vAlign w:val="center"/>
          </w:tcPr>
          <w:p w14:paraId="76DA025A"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标的公司、标的资产</w:t>
            </w:r>
          </w:p>
        </w:tc>
        <w:tc>
          <w:tcPr>
            <w:tcW w:w="436" w:type="pct"/>
            <w:vAlign w:val="center"/>
          </w:tcPr>
          <w:p w14:paraId="24993BB2"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2593DF07"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大唐</w:t>
            </w:r>
            <w:proofErr w:type="gramStart"/>
            <w:r w:rsidRPr="00C015CA">
              <w:rPr>
                <w:rFonts w:ascii="Times New Roman" w:eastAsia="宋体" w:hAnsi="Times New Roman" w:cs="Times New Roman"/>
                <w:color w:val="000000"/>
                <w:sz w:val="24"/>
                <w:szCs w:val="24"/>
              </w:rPr>
              <w:t>恩智浦</w:t>
            </w:r>
            <w:proofErr w:type="gramEnd"/>
            <w:r w:rsidRPr="00C015CA">
              <w:rPr>
                <w:rFonts w:ascii="Times New Roman" w:eastAsia="宋体" w:hAnsi="Times New Roman" w:cs="Times New Roman"/>
                <w:color w:val="000000"/>
                <w:sz w:val="24"/>
                <w:szCs w:val="24"/>
              </w:rPr>
              <w:t>半导体有限公司、江苏安防科技有限公司、</w:t>
            </w:r>
            <w:proofErr w:type="gramStart"/>
            <w:r w:rsidRPr="00C015CA">
              <w:rPr>
                <w:rFonts w:ascii="Times New Roman" w:eastAsia="宋体" w:hAnsi="Times New Roman" w:cs="Times New Roman"/>
                <w:color w:val="000000"/>
                <w:sz w:val="24"/>
                <w:szCs w:val="24"/>
              </w:rPr>
              <w:t>宸芯科技</w:t>
            </w:r>
            <w:proofErr w:type="gramEnd"/>
            <w:r w:rsidRPr="00C015CA">
              <w:rPr>
                <w:rFonts w:ascii="Times New Roman" w:eastAsia="宋体" w:hAnsi="Times New Roman" w:cs="Times New Roman"/>
                <w:color w:val="000000"/>
                <w:sz w:val="24"/>
                <w:szCs w:val="24"/>
              </w:rPr>
              <w:t>有限公司</w:t>
            </w:r>
          </w:p>
        </w:tc>
      </w:tr>
      <w:tr w:rsidR="00C015CA" w:rsidRPr="00C015CA" w14:paraId="16789180" w14:textId="77777777" w:rsidTr="009833A8">
        <w:trPr>
          <w:trHeight w:val="340"/>
        </w:trPr>
        <w:tc>
          <w:tcPr>
            <w:tcW w:w="1132" w:type="pct"/>
            <w:vAlign w:val="center"/>
          </w:tcPr>
          <w:p w14:paraId="08FB74F7" w14:textId="77777777" w:rsidR="00C015CA" w:rsidRPr="00C015CA" w:rsidRDefault="00C015CA" w:rsidP="00C015CA">
            <w:pPr>
              <w:snapToGrid w:val="0"/>
              <w:rPr>
                <w:rFonts w:ascii="Times New Roman" w:eastAsia="宋体" w:hAnsi="Times New Roman" w:cs="Times New Roman"/>
                <w:color w:val="000000"/>
                <w:sz w:val="24"/>
                <w:szCs w:val="24"/>
              </w:rPr>
            </w:pPr>
            <w:bookmarkStart w:id="15" w:name="_Hlk41415708"/>
            <w:r w:rsidRPr="00C015CA">
              <w:rPr>
                <w:rFonts w:ascii="Times New Roman" w:eastAsia="宋体" w:hAnsi="Times New Roman" w:cs="Times New Roman"/>
                <w:color w:val="000000"/>
                <w:sz w:val="24"/>
                <w:szCs w:val="24"/>
              </w:rPr>
              <w:t>大唐</w:t>
            </w:r>
            <w:proofErr w:type="gramStart"/>
            <w:r w:rsidRPr="00C015CA">
              <w:rPr>
                <w:rFonts w:ascii="Times New Roman" w:eastAsia="宋体" w:hAnsi="Times New Roman" w:cs="Times New Roman"/>
                <w:color w:val="000000"/>
                <w:sz w:val="24"/>
                <w:szCs w:val="24"/>
              </w:rPr>
              <w:t>恩智浦</w:t>
            </w:r>
            <w:proofErr w:type="gramEnd"/>
          </w:p>
        </w:tc>
        <w:tc>
          <w:tcPr>
            <w:tcW w:w="436" w:type="pct"/>
            <w:vAlign w:val="center"/>
          </w:tcPr>
          <w:p w14:paraId="31C2D24A"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1A0A4151"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大唐</w:t>
            </w:r>
            <w:proofErr w:type="gramStart"/>
            <w:r w:rsidRPr="00C015CA">
              <w:rPr>
                <w:rFonts w:ascii="Times New Roman" w:eastAsia="宋体" w:hAnsi="Times New Roman" w:cs="Times New Roman"/>
                <w:color w:val="000000"/>
                <w:sz w:val="24"/>
                <w:szCs w:val="24"/>
              </w:rPr>
              <w:t>恩智浦</w:t>
            </w:r>
            <w:proofErr w:type="gramEnd"/>
            <w:r w:rsidRPr="00C015CA">
              <w:rPr>
                <w:rFonts w:ascii="Times New Roman" w:eastAsia="宋体" w:hAnsi="Times New Roman" w:cs="Times New Roman"/>
                <w:color w:val="000000"/>
                <w:sz w:val="24"/>
                <w:szCs w:val="24"/>
              </w:rPr>
              <w:t>半导体有限公司</w:t>
            </w:r>
          </w:p>
        </w:tc>
      </w:tr>
      <w:tr w:rsidR="00C015CA" w:rsidRPr="00C015CA" w14:paraId="41D92E0B" w14:textId="77777777" w:rsidTr="009833A8">
        <w:trPr>
          <w:trHeight w:val="340"/>
        </w:trPr>
        <w:tc>
          <w:tcPr>
            <w:tcW w:w="1132" w:type="pct"/>
            <w:vAlign w:val="center"/>
          </w:tcPr>
          <w:p w14:paraId="2A72A382"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恩智浦</w:t>
            </w:r>
            <w:proofErr w:type="gramEnd"/>
          </w:p>
        </w:tc>
        <w:tc>
          <w:tcPr>
            <w:tcW w:w="436" w:type="pct"/>
            <w:vAlign w:val="center"/>
          </w:tcPr>
          <w:p w14:paraId="0AF77B0F"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5338B734"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恩智浦</w:t>
            </w:r>
            <w:proofErr w:type="gramEnd"/>
            <w:r w:rsidRPr="00C015CA">
              <w:rPr>
                <w:rFonts w:ascii="Times New Roman" w:eastAsia="宋体" w:hAnsi="Times New Roman" w:cs="Times New Roman"/>
                <w:color w:val="000000"/>
                <w:sz w:val="24"/>
                <w:szCs w:val="24"/>
              </w:rPr>
              <w:t>有限公司</w:t>
            </w:r>
          </w:p>
        </w:tc>
      </w:tr>
      <w:tr w:rsidR="00C015CA" w:rsidRPr="00C015CA" w14:paraId="0D3C22EC" w14:textId="77777777" w:rsidTr="009833A8">
        <w:trPr>
          <w:trHeight w:val="340"/>
        </w:trPr>
        <w:tc>
          <w:tcPr>
            <w:tcW w:w="1132" w:type="pct"/>
            <w:vAlign w:val="center"/>
          </w:tcPr>
          <w:p w14:paraId="43C821E7"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江苏安防</w:t>
            </w:r>
          </w:p>
        </w:tc>
        <w:tc>
          <w:tcPr>
            <w:tcW w:w="436" w:type="pct"/>
            <w:vAlign w:val="center"/>
          </w:tcPr>
          <w:p w14:paraId="6FC986D0"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2145C8FC"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江苏安防科技有限公司</w:t>
            </w:r>
          </w:p>
        </w:tc>
      </w:tr>
      <w:tr w:rsidR="00C015CA" w:rsidRPr="00C015CA" w14:paraId="6B50CBC8" w14:textId="77777777" w:rsidTr="009833A8">
        <w:trPr>
          <w:trHeight w:val="340"/>
        </w:trPr>
        <w:tc>
          <w:tcPr>
            <w:tcW w:w="1132" w:type="pct"/>
            <w:vAlign w:val="center"/>
          </w:tcPr>
          <w:p w14:paraId="57147420"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宸芯科技</w:t>
            </w:r>
            <w:proofErr w:type="gramEnd"/>
          </w:p>
        </w:tc>
        <w:tc>
          <w:tcPr>
            <w:tcW w:w="436" w:type="pct"/>
            <w:vAlign w:val="center"/>
          </w:tcPr>
          <w:p w14:paraId="46B7D8E6"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1608D144" w14:textId="77777777" w:rsidR="00C015CA" w:rsidRPr="00C015CA" w:rsidRDefault="00C015CA" w:rsidP="00C015CA">
            <w:pPr>
              <w:snapToGrid w:val="0"/>
              <w:rPr>
                <w:rFonts w:ascii="Times New Roman" w:eastAsia="宋体" w:hAnsi="Times New Roman" w:cs="Times New Roman"/>
                <w:color w:val="000000"/>
                <w:sz w:val="24"/>
                <w:szCs w:val="24"/>
              </w:rPr>
            </w:pPr>
            <w:proofErr w:type="gramStart"/>
            <w:r w:rsidRPr="00C015CA">
              <w:rPr>
                <w:rFonts w:ascii="Times New Roman" w:eastAsia="宋体" w:hAnsi="Times New Roman" w:cs="Times New Roman"/>
                <w:color w:val="000000"/>
                <w:sz w:val="24"/>
                <w:szCs w:val="24"/>
              </w:rPr>
              <w:t>宸芯科技</w:t>
            </w:r>
            <w:proofErr w:type="gramEnd"/>
            <w:r w:rsidRPr="00C015CA">
              <w:rPr>
                <w:rFonts w:ascii="Times New Roman" w:eastAsia="宋体" w:hAnsi="Times New Roman" w:cs="Times New Roman"/>
                <w:color w:val="000000"/>
                <w:sz w:val="24"/>
                <w:szCs w:val="24"/>
              </w:rPr>
              <w:t>有限公司</w:t>
            </w:r>
          </w:p>
        </w:tc>
      </w:tr>
      <w:bookmarkEnd w:id="15"/>
      <w:tr w:rsidR="00C015CA" w:rsidRPr="00C015CA" w14:paraId="03640139" w14:textId="77777777" w:rsidTr="009833A8">
        <w:trPr>
          <w:trHeight w:val="340"/>
        </w:trPr>
        <w:tc>
          <w:tcPr>
            <w:tcW w:w="1132" w:type="pct"/>
            <w:vAlign w:val="center"/>
          </w:tcPr>
          <w:p w14:paraId="15E533BC"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大唐半导体</w:t>
            </w:r>
          </w:p>
        </w:tc>
        <w:tc>
          <w:tcPr>
            <w:tcW w:w="436" w:type="pct"/>
            <w:vAlign w:val="center"/>
          </w:tcPr>
          <w:p w14:paraId="14FE795C"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01826B88"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大唐半导体设计有限公司</w:t>
            </w:r>
          </w:p>
        </w:tc>
      </w:tr>
      <w:tr w:rsidR="00C015CA" w:rsidRPr="00C015CA" w14:paraId="107A5B16" w14:textId="77777777" w:rsidTr="009833A8">
        <w:trPr>
          <w:trHeight w:val="340"/>
        </w:trPr>
        <w:tc>
          <w:tcPr>
            <w:tcW w:w="1132" w:type="pct"/>
            <w:vAlign w:val="center"/>
          </w:tcPr>
          <w:p w14:paraId="2213E8E7"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徐州汽车基金</w:t>
            </w:r>
          </w:p>
        </w:tc>
        <w:tc>
          <w:tcPr>
            <w:tcW w:w="436" w:type="pct"/>
            <w:vAlign w:val="center"/>
          </w:tcPr>
          <w:p w14:paraId="70DAA694"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指</w:t>
            </w:r>
          </w:p>
        </w:tc>
        <w:tc>
          <w:tcPr>
            <w:tcW w:w="3432" w:type="pct"/>
            <w:vAlign w:val="center"/>
          </w:tcPr>
          <w:p w14:paraId="0F35729B"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徐州汽车半导体产业基金合伙企业（有限合伙）</w:t>
            </w:r>
          </w:p>
        </w:tc>
      </w:tr>
      <w:tr w:rsidR="00C015CA" w:rsidRPr="00C015CA" w14:paraId="26CCDD08" w14:textId="77777777" w:rsidTr="009833A8">
        <w:trPr>
          <w:trHeight w:val="340"/>
        </w:trPr>
        <w:tc>
          <w:tcPr>
            <w:tcW w:w="1132" w:type="pct"/>
            <w:vAlign w:val="center"/>
          </w:tcPr>
          <w:p w14:paraId="41050600"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徐州</w:t>
            </w:r>
            <w:proofErr w:type="gramStart"/>
            <w:r w:rsidRPr="00C015CA">
              <w:rPr>
                <w:rFonts w:ascii="Times New Roman" w:eastAsia="宋体" w:hAnsi="Times New Roman" w:cs="Times New Roman" w:hint="eastAsia"/>
                <w:color w:val="000000"/>
                <w:sz w:val="24"/>
                <w:szCs w:val="24"/>
              </w:rPr>
              <w:t>智安基金</w:t>
            </w:r>
            <w:proofErr w:type="gramEnd"/>
          </w:p>
        </w:tc>
        <w:tc>
          <w:tcPr>
            <w:tcW w:w="436" w:type="pct"/>
            <w:vAlign w:val="center"/>
          </w:tcPr>
          <w:p w14:paraId="78C411E0"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指</w:t>
            </w:r>
          </w:p>
        </w:tc>
        <w:tc>
          <w:tcPr>
            <w:tcW w:w="3432" w:type="pct"/>
            <w:vAlign w:val="center"/>
          </w:tcPr>
          <w:p w14:paraId="14EEC373"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徐州</w:t>
            </w:r>
            <w:proofErr w:type="gramStart"/>
            <w:r w:rsidRPr="00C015CA">
              <w:rPr>
                <w:rFonts w:ascii="Times New Roman" w:eastAsia="宋体" w:hAnsi="Times New Roman" w:cs="Times New Roman" w:hint="eastAsia"/>
                <w:color w:val="000000"/>
                <w:sz w:val="24"/>
                <w:szCs w:val="24"/>
              </w:rPr>
              <w:t>智安产业</w:t>
            </w:r>
            <w:proofErr w:type="gramEnd"/>
            <w:r w:rsidRPr="00C015CA">
              <w:rPr>
                <w:rFonts w:ascii="Times New Roman" w:eastAsia="宋体" w:hAnsi="Times New Roman" w:cs="Times New Roman" w:hint="eastAsia"/>
                <w:color w:val="000000"/>
                <w:sz w:val="24"/>
                <w:szCs w:val="24"/>
              </w:rPr>
              <w:t>投资基金合伙企业（有限合伙）</w:t>
            </w:r>
          </w:p>
        </w:tc>
      </w:tr>
      <w:tr w:rsidR="00C015CA" w:rsidRPr="00C015CA" w14:paraId="59507E0B" w14:textId="77777777" w:rsidTr="009833A8">
        <w:trPr>
          <w:trHeight w:val="340"/>
        </w:trPr>
        <w:tc>
          <w:tcPr>
            <w:tcW w:w="1132" w:type="pct"/>
            <w:vAlign w:val="center"/>
          </w:tcPr>
          <w:p w14:paraId="6524AED0"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联合体</w:t>
            </w:r>
          </w:p>
        </w:tc>
        <w:tc>
          <w:tcPr>
            <w:tcW w:w="436" w:type="pct"/>
            <w:vAlign w:val="center"/>
          </w:tcPr>
          <w:p w14:paraId="4B53436B"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指</w:t>
            </w:r>
          </w:p>
        </w:tc>
        <w:tc>
          <w:tcPr>
            <w:tcW w:w="3432" w:type="pct"/>
            <w:vAlign w:val="center"/>
          </w:tcPr>
          <w:p w14:paraId="544E4240"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hint="eastAsia"/>
                <w:color w:val="000000"/>
                <w:sz w:val="24"/>
                <w:szCs w:val="24"/>
              </w:rPr>
              <w:t>本次重大资产重组</w:t>
            </w:r>
            <w:proofErr w:type="gramStart"/>
            <w:r w:rsidRPr="00C015CA">
              <w:rPr>
                <w:rFonts w:ascii="Times New Roman" w:eastAsia="宋体" w:hAnsi="Times New Roman" w:cs="Times New Roman" w:hint="eastAsia"/>
                <w:color w:val="000000"/>
                <w:sz w:val="24"/>
                <w:szCs w:val="24"/>
              </w:rPr>
              <w:t>宸芯科技</w:t>
            </w:r>
            <w:proofErr w:type="gramEnd"/>
            <w:r w:rsidRPr="00C015CA">
              <w:rPr>
                <w:rFonts w:ascii="Times New Roman" w:eastAsia="宋体" w:hAnsi="Times New Roman" w:cs="Times New Roman" w:hint="eastAsia"/>
                <w:color w:val="000000"/>
                <w:sz w:val="24"/>
                <w:szCs w:val="24"/>
              </w:rPr>
              <w:t>的交易对方：浙江制造基金合伙企业（有限合伙）、深圳市红马全晟投资中心（有限合伙）、北京楚星融智咨询有限公司、日照</w:t>
            </w:r>
            <w:proofErr w:type="gramStart"/>
            <w:r w:rsidRPr="00C015CA">
              <w:rPr>
                <w:rFonts w:ascii="Times New Roman" w:eastAsia="宋体" w:hAnsi="Times New Roman" w:cs="Times New Roman" w:hint="eastAsia"/>
                <w:color w:val="000000"/>
                <w:sz w:val="24"/>
                <w:szCs w:val="24"/>
              </w:rPr>
              <w:t>宸睿</w:t>
            </w:r>
            <w:proofErr w:type="gramEnd"/>
            <w:r w:rsidRPr="00C015CA">
              <w:rPr>
                <w:rFonts w:ascii="Times New Roman" w:eastAsia="宋体" w:hAnsi="Times New Roman" w:cs="Times New Roman" w:hint="eastAsia"/>
                <w:color w:val="000000"/>
                <w:sz w:val="24"/>
                <w:szCs w:val="24"/>
              </w:rPr>
              <w:t>联合一期股权投资管理中心（有限合伙）、南京</w:t>
            </w:r>
            <w:proofErr w:type="gramStart"/>
            <w:r w:rsidRPr="00C015CA">
              <w:rPr>
                <w:rFonts w:ascii="Times New Roman" w:eastAsia="宋体" w:hAnsi="Times New Roman" w:cs="Times New Roman" w:hint="eastAsia"/>
                <w:color w:val="000000"/>
                <w:sz w:val="24"/>
                <w:szCs w:val="24"/>
              </w:rPr>
              <w:t>翎贲昭离</w:t>
            </w:r>
            <w:proofErr w:type="gramEnd"/>
            <w:r w:rsidRPr="00C015CA">
              <w:rPr>
                <w:rFonts w:ascii="Times New Roman" w:eastAsia="宋体" w:hAnsi="Times New Roman" w:cs="Times New Roman" w:hint="eastAsia"/>
                <w:color w:val="000000"/>
                <w:sz w:val="24"/>
                <w:szCs w:val="24"/>
              </w:rPr>
              <w:t>股权投资合伙企业（有限合伙）、天津</w:t>
            </w:r>
            <w:proofErr w:type="gramStart"/>
            <w:r w:rsidRPr="00C015CA">
              <w:rPr>
                <w:rFonts w:ascii="Times New Roman" w:eastAsia="宋体" w:hAnsi="Times New Roman" w:cs="Times New Roman" w:hint="eastAsia"/>
                <w:color w:val="000000"/>
                <w:sz w:val="24"/>
                <w:szCs w:val="24"/>
              </w:rPr>
              <w:t>维致瑾</w:t>
            </w:r>
            <w:proofErr w:type="gramEnd"/>
            <w:r w:rsidRPr="00C015CA">
              <w:rPr>
                <w:rFonts w:ascii="Times New Roman" w:eastAsia="宋体" w:hAnsi="Times New Roman" w:cs="Times New Roman" w:hint="eastAsia"/>
                <w:color w:val="000000"/>
                <w:sz w:val="24"/>
                <w:szCs w:val="24"/>
              </w:rPr>
              <w:t>企业管理咨询中心（有限合伙）、创新创业新动能股权投资基金（湖北）合伙企业（有限合伙）、北京紫岩连合科技有限公司</w:t>
            </w:r>
          </w:p>
        </w:tc>
      </w:tr>
      <w:tr w:rsidR="00C015CA" w:rsidRPr="00C015CA" w14:paraId="0966E39F" w14:textId="77777777" w:rsidTr="009833A8">
        <w:trPr>
          <w:trHeight w:val="340"/>
        </w:trPr>
        <w:tc>
          <w:tcPr>
            <w:tcW w:w="1132" w:type="pct"/>
            <w:vAlign w:val="center"/>
          </w:tcPr>
          <w:p w14:paraId="00006250"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本次交易、本次重组、本次重大资产重组</w:t>
            </w:r>
          </w:p>
        </w:tc>
        <w:tc>
          <w:tcPr>
            <w:tcW w:w="436" w:type="pct"/>
            <w:vAlign w:val="center"/>
          </w:tcPr>
          <w:p w14:paraId="29C84346" w14:textId="77777777" w:rsidR="00C015CA" w:rsidRPr="00C015CA" w:rsidRDefault="00C015CA" w:rsidP="00C015CA">
            <w:pPr>
              <w:snapToGrid w:val="0"/>
              <w:jc w:val="center"/>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指</w:t>
            </w:r>
          </w:p>
        </w:tc>
        <w:tc>
          <w:tcPr>
            <w:tcW w:w="3432" w:type="pct"/>
            <w:vAlign w:val="center"/>
          </w:tcPr>
          <w:p w14:paraId="02C98E5B" w14:textId="77777777" w:rsidR="00C015CA" w:rsidRPr="00C015CA" w:rsidRDefault="00C015CA" w:rsidP="00C015CA">
            <w:pPr>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大唐电信科技股份有限公司控股子公司增资及参股公司部分股权转让之重大资产重组</w:t>
            </w:r>
            <w:r w:rsidRPr="00C015CA">
              <w:rPr>
                <w:rFonts w:ascii="Times New Roman" w:eastAsia="宋体" w:hAnsi="Times New Roman" w:cs="Times New Roman" w:hint="eastAsia"/>
                <w:color w:val="000000"/>
                <w:sz w:val="24"/>
                <w:szCs w:val="24"/>
              </w:rPr>
              <w:t>暨关联交易</w:t>
            </w:r>
          </w:p>
        </w:tc>
      </w:tr>
      <w:tr w:rsidR="00C015CA" w:rsidRPr="00C015CA" w14:paraId="000987E3" w14:textId="77777777" w:rsidTr="009833A8">
        <w:trPr>
          <w:trHeight w:val="340"/>
        </w:trPr>
        <w:tc>
          <w:tcPr>
            <w:tcW w:w="1132" w:type="pct"/>
            <w:vAlign w:val="center"/>
          </w:tcPr>
          <w:p w14:paraId="4B3704D5" w14:textId="405F8E35"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hint="eastAsia"/>
                <w:sz w:val="24"/>
                <w:szCs w:val="24"/>
              </w:rPr>
              <w:t>本</w:t>
            </w:r>
            <w:r w:rsidR="002C0D21">
              <w:rPr>
                <w:rFonts w:ascii="Times New Roman" w:eastAsia="宋体" w:hAnsi="Times New Roman" w:cs="Times New Roman" w:hint="eastAsia"/>
                <w:sz w:val="24"/>
                <w:szCs w:val="24"/>
              </w:rPr>
              <w:t>报告书</w:t>
            </w:r>
          </w:p>
        </w:tc>
        <w:tc>
          <w:tcPr>
            <w:tcW w:w="436" w:type="pct"/>
            <w:vAlign w:val="center"/>
          </w:tcPr>
          <w:p w14:paraId="18C14773" w14:textId="77777777" w:rsidR="00C015CA" w:rsidRPr="00C015CA" w:rsidRDefault="00C015CA" w:rsidP="00C015CA">
            <w:pPr>
              <w:snapToGrid w:val="0"/>
              <w:jc w:val="center"/>
              <w:rPr>
                <w:rFonts w:ascii="Times New Roman" w:eastAsia="宋体" w:hAnsi="Times New Roman" w:cs="Times New Roman"/>
                <w:sz w:val="24"/>
                <w:szCs w:val="24"/>
              </w:rPr>
            </w:pPr>
            <w:r w:rsidRPr="00C015CA">
              <w:rPr>
                <w:rFonts w:ascii="Times New Roman" w:eastAsia="宋体" w:hAnsi="Times New Roman" w:cs="Times New Roman" w:hint="eastAsia"/>
                <w:sz w:val="24"/>
                <w:szCs w:val="24"/>
              </w:rPr>
              <w:t>指</w:t>
            </w:r>
          </w:p>
        </w:tc>
        <w:tc>
          <w:tcPr>
            <w:tcW w:w="3432" w:type="pct"/>
            <w:vAlign w:val="center"/>
          </w:tcPr>
          <w:p w14:paraId="49DEB66E" w14:textId="142A7D5D" w:rsidR="00C015CA" w:rsidRPr="00C015CA" w:rsidRDefault="002C0D21" w:rsidP="002C0D21">
            <w:pPr>
              <w:snapToGrid w:val="0"/>
              <w:rPr>
                <w:rFonts w:ascii="Times New Roman" w:eastAsia="宋体" w:hAnsi="Times New Roman" w:cs="Times New Roman"/>
                <w:sz w:val="24"/>
                <w:szCs w:val="24"/>
              </w:rPr>
            </w:pPr>
            <w:r w:rsidRPr="002C0D21">
              <w:rPr>
                <w:rFonts w:ascii="Times New Roman" w:eastAsia="宋体" w:hAnsi="Times New Roman" w:cs="Times New Roman" w:hint="eastAsia"/>
                <w:sz w:val="24"/>
                <w:szCs w:val="24"/>
              </w:rPr>
              <w:t>招商证券股份有限公司关于大唐电信科技股份有限公司重大资产重组暨关联交易之</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年度持续督导工作报告书</w:t>
            </w:r>
          </w:p>
        </w:tc>
      </w:tr>
      <w:tr w:rsidR="00C015CA" w:rsidRPr="00C015CA" w14:paraId="0030AB5E" w14:textId="77777777" w:rsidTr="009833A8">
        <w:trPr>
          <w:trHeight w:val="340"/>
        </w:trPr>
        <w:tc>
          <w:tcPr>
            <w:tcW w:w="1132" w:type="pct"/>
            <w:vAlign w:val="center"/>
          </w:tcPr>
          <w:p w14:paraId="08AEAE7D" w14:textId="77777777"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报告期</w:t>
            </w:r>
          </w:p>
        </w:tc>
        <w:tc>
          <w:tcPr>
            <w:tcW w:w="436" w:type="pct"/>
            <w:vAlign w:val="center"/>
          </w:tcPr>
          <w:p w14:paraId="3068AC88" w14:textId="77777777" w:rsidR="00C015CA" w:rsidRPr="00C015CA" w:rsidRDefault="00C015CA" w:rsidP="00C015CA">
            <w:pPr>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rPr>
              <w:t>指</w:t>
            </w:r>
          </w:p>
        </w:tc>
        <w:tc>
          <w:tcPr>
            <w:tcW w:w="3432" w:type="pct"/>
            <w:vAlign w:val="center"/>
          </w:tcPr>
          <w:p w14:paraId="3AAFAA9A" w14:textId="77777777" w:rsidR="00C015CA" w:rsidRPr="00C015CA" w:rsidRDefault="00C015CA" w:rsidP="00C015CA">
            <w:pPr>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2018</w:t>
            </w:r>
            <w:r w:rsidRPr="00C015CA">
              <w:rPr>
                <w:rFonts w:ascii="Times New Roman" w:eastAsia="宋体" w:hAnsi="Times New Roman" w:cs="Times New Roman"/>
                <w:sz w:val="24"/>
                <w:szCs w:val="24"/>
              </w:rPr>
              <w:t>年度、</w:t>
            </w:r>
            <w:r w:rsidRPr="00C015CA">
              <w:rPr>
                <w:rFonts w:ascii="Times New Roman" w:eastAsia="宋体" w:hAnsi="Times New Roman" w:cs="Times New Roman"/>
                <w:sz w:val="24"/>
                <w:szCs w:val="24"/>
              </w:rPr>
              <w:t>2019</w:t>
            </w:r>
            <w:r w:rsidRPr="00C015CA">
              <w:rPr>
                <w:rFonts w:ascii="Times New Roman" w:eastAsia="宋体" w:hAnsi="Times New Roman" w:cs="Times New Roman"/>
                <w:sz w:val="24"/>
                <w:szCs w:val="24"/>
              </w:rPr>
              <w:t>年度、</w:t>
            </w:r>
            <w:r w:rsidRPr="00C015CA">
              <w:rPr>
                <w:rFonts w:ascii="Times New Roman" w:eastAsia="宋体" w:hAnsi="Times New Roman" w:cs="Times New Roman"/>
                <w:sz w:val="24"/>
                <w:szCs w:val="24"/>
              </w:rPr>
              <w:t>2020</w:t>
            </w:r>
            <w:r w:rsidRPr="00C015CA">
              <w:rPr>
                <w:rFonts w:ascii="Times New Roman" w:eastAsia="宋体" w:hAnsi="Times New Roman" w:cs="Times New Roman"/>
                <w:sz w:val="24"/>
                <w:szCs w:val="24"/>
              </w:rPr>
              <w:t>年</w:t>
            </w:r>
            <w:r w:rsidRPr="00C015CA">
              <w:rPr>
                <w:rFonts w:ascii="Times New Roman" w:eastAsia="宋体" w:hAnsi="Times New Roman" w:cs="Times New Roman"/>
                <w:sz w:val="24"/>
                <w:szCs w:val="24"/>
              </w:rPr>
              <w:t>1-4</w:t>
            </w:r>
            <w:r w:rsidRPr="00C015CA">
              <w:rPr>
                <w:rFonts w:ascii="Times New Roman" w:eastAsia="宋体" w:hAnsi="Times New Roman" w:cs="Times New Roman"/>
                <w:sz w:val="24"/>
                <w:szCs w:val="24"/>
              </w:rPr>
              <w:t>月</w:t>
            </w:r>
          </w:p>
        </w:tc>
      </w:tr>
      <w:tr w:rsidR="00C015CA" w:rsidRPr="00C015CA" w14:paraId="0F83F533" w14:textId="77777777" w:rsidTr="009833A8">
        <w:trPr>
          <w:trHeight w:val="340"/>
        </w:trPr>
        <w:tc>
          <w:tcPr>
            <w:tcW w:w="1132" w:type="pct"/>
            <w:vAlign w:val="center"/>
          </w:tcPr>
          <w:p w14:paraId="662AEB52"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评估基准日</w:t>
            </w:r>
          </w:p>
        </w:tc>
        <w:tc>
          <w:tcPr>
            <w:tcW w:w="436" w:type="pct"/>
            <w:vAlign w:val="center"/>
          </w:tcPr>
          <w:p w14:paraId="17928F25"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6C8A44F2"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2020</w:t>
            </w:r>
            <w:r w:rsidRPr="00C015CA">
              <w:rPr>
                <w:rFonts w:ascii="Times New Roman" w:eastAsia="宋体" w:hAnsi="Times New Roman" w:cs="Times New Roman"/>
                <w:sz w:val="24"/>
                <w:szCs w:val="24"/>
                <w:lang w:val="zh-CN"/>
              </w:rPr>
              <w:t>年</w:t>
            </w:r>
            <w:r w:rsidRPr="00C015CA">
              <w:rPr>
                <w:rFonts w:ascii="Times New Roman" w:eastAsia="宋体" w:hAnsi="Times New Roman" w:cs="Times New Roman"/>
                <w:sz w:val="24"/>
                <w:szCs w:val="24"/>
                <w:lang w:val="zh-CN"/>
              </w:rPr>
              <w:t>4</w:t>
            </w:r>
            <w:r w:rsidRPr="00C015CA">
              <w:rPr>
                <w:rFonts w:ascii="Times New Roman" w:eastAsia="宋体" w:hAnsi="Times New Roman" w:cs="Times New Roman"/>
                <w:sz w:val="24"/>
                <w:szCs w:val="24"/>
                <w:lang w:val="zh-CN"/>
              </w:rPr>
              <w:t>月</w:t>
            </w:r>
            <w:r w:rsidRPr="00C015CA">
              <w:rPr>
                <w:rFonts w:ascii="Times New Roman" w:eastAsia="宋体" w:hAnsi="Times New Roman" w:cs="Times New Roman"/>
                <w:sz w:val="24"/>
                <w:szCs w:val="24"/>
                <w:lang w:val="zh-CN"/>
              </w:rPr>
              <w:t>30</w:t>
            </w:r>
            <w:r w:rsidRPr="00C015CA">
              <w:rPr>
                <w:rFonts w:ascii="Times New Roman" w:eastAsia="宋体" w:hAnsi="Times New Roman" w:cs="Times New Roman"/>
                <w:sz w:val="24"/>
                <w:szCs w:val="24"/>
                <w:lang w:val="zh-CN"/>
              </w:rPr>
              <w:t>日</w:t>
            </w:r>
          </w:p>
        </w:tc>
      </w:tr>
      <w:tr w:rsidR="00C015CA" w:rsidRPr="00C015CA" w14:paraId="442521CD" w14:textId="77777777" w:rsidTr="009833A8">
        <w:trPr>
          <w:trHeight w:val="340"/>
        </w:trPr>
        <w:tc>
          <w:tcPr>
            <w:tcW w:w="1132" w:type="pct"/>
            <w:vAlign w:val="center"/>
          </w:tcPr>
          <w:p w14:paraId="54624D9D"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中国证监会</w:t>
            </w:r>
          </w:p>
        </w:tc>
        <w:tc>
          <w:tcPr>
            <w:tcW w:w="436" w:type="pct"/>
            <w:vAlign w:val="center"/>
          </w:tcPr>
          <w:p w14:paraId="5A4860B1"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25B24C48"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中国证券监督管理委员会</w:t>
            </w:r>
          </w:p>
        </w:tc>
      </w:tr>
      <w:tr w:rsidR="00C015CA" w:rsidRPr="00C015CA" w14:paraId="37AA1D40" w14:textId="77777777" w:rsidTr="009833A8">
        <w:trPr>
          <w:trHeight w:val="340"/>
        </w:trPr>
        <w:tc>
          <w:tcPr>
            <w:tcW w:w="1132" w:type="pct"/>
            <w:vAlign w:val="center"/>
          </w:tcPr>
          <w:p w14:paraId="5F8E7F6D" w14:textId="77777777" w:rsidR="00C015CA" w:rsidRPr="00C015CA" w:rsidRDefault="00C015CA" w:rsidP="00C015CA">
            <w:pPr>
              <w:adjustRightInd w:val="0"/>
              <w:snapToGrid w:val="0"/>
              <w:rPr>
                <w:rFonts w:ascii="Times New Roman" w:eastAsia="宋体" w:hAnsi="Times New Roman" w:cs="Times New Roman"/>
                <w:sz w:val="24"/>
                <w:szCs w:val="24"/>
                <w:lang w:val="zh-CN"/>
              </w:rPr>
            </w:pPr>
            <w:r w:rsidRPr="00C015CA">
              <w:rPr>
                <w:rFonts w:ascii="Times New Roman" w:eastAsia="宋体" w:hAnsi="Times New Roman" w:cs="Times New Roman" w:hint="eastAsia"/>
                <w:sz w:val="24"/>
                <w:szCs w:val="24"/>
                <w:lang w:val="zh-CN"/>
              </w:rPr>
              <w:t>北交所</w:t>
            </w:r>
          </w:p>
        </w:tc>
        <w:tc>
          <w:tcPr>
            <w:tcW w:w="436" w:type="pct"/>
            <w:vAlign w:val="center"/>
          </w:tcPr>
          <w:p w14:paraId="78BB5D26" w14:textId="77777777" w:rsidR="00C015CA" w:rsidRPr="00C015CA" w:rsidRDefault="00C015CA" w:rsidP="00C015CA">
            <w:pPr>
              <w:adjustRightInd w:val="0"/>
              <w:snapToGrid w:val="0"/>
              <w:jc w:val="center"/>
              <w:rPr>
                <w:rFonts w:ascii="Times New Roman" w:eastAsia="宋体" w:hAnsi="Times New Roman" w:cs="Times New Roman"/>
                <w:sz w:val="24"/>
                <w:szCs w:val="24"/>
                <w:lang w:val="zh-CN"/>
              </w:rPr>
            </w:pPr>
            <w:r w:rsidRPr="00C015CA">
              <w:rPr>
                <w:rFonts w:ascii="Times New Roman" w:eastAsia="宋体" w:hAnsi="Times New Roman" w:cs="Times New Roman" w:hint="eastAsia"/>
                <w:sz w:val="24"/>
                <w:szCs w:val="24"/>
                <w:lang w:val="zh-CN"/>
              </w:rPr>
              <w:t>指</w:t>
            </w:r>
          </w:p>
        </w:tc>
        <w:tc>
          <w:tcPr>
            <w:tcW w:w="3432" w:type="pct"/>
            <w:vAlign w:val="center"/>
          </w:tcPr>
          <w:p w14:paraId="46F171DE" w14:textId="77777777" w:rsidR="00C015CA" w:rsidRPr="00C015CA" w:rsidRDefault="00C015CA" w:rsidP="00C015CA">
            <w:pPr>
              <w:adjustRightInd w:val="0"/>
              <w:snapToGrid w:val="0"/>
              <w:rPr>
                <w:rFonts w:ascii="Times New Roman" w:eastAsia="宋体" w:hAnsi="Times New Roman" w:cs="Times New Roman"/>
                <w:sz w:val="24"/>
                <w:szCs w:val="24"/>
                <w:lang w:val="zh-CN"/>
              </w:rPr>
            </w:pPr>
            <w:r w:rsidRPr="00C015CA">
              <w:rPr>
                <w:rFonts w:ascii="Times New Roman" w:eastAsia="宋体" w:hAnsi="Times New Roman" w:cs="Times New Roman" w:hint="eastAsia"/>
                <w:sz w:val="24"/>
                <w:szCs w:val="24"/>
                <w:lang w:val="zh-CN"/>
              </w:rPr>
              <w:t>北京产权交易所</w:t>
            </w:r>
          </w:p>
        </w:tc>
      </w:tr>
      <w:tr w:rsidR="00C015CA" w:rsidRPr="00C015CA" w14:paraId="048142A5" w14:textId="77777777" w:rsidTr="009833A8">
        <w:trPr>
          <w:trHeight w:val="340"/>
        </w:trPr>
        <w:tc>
          <w:tcPr>
            <w:tcW w:w="1132" w:type="pct"/>
            <w:vAlign w:val="center"/>
          </w:tcPr>
          <w:p w14:paraId="143104A8"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hint="eastAsia"/>
                <w:sz w:val="24"/>
                <w:szCs w:val="24"/>
              </w:rPr>
              <w:t>独立财务顾问</w:t>
            </w:r>
          </w:p>
        </w:tc>
        <w:tc>
          <w:tcPr>
            <w:tcW w:w="436" w:type="pct"/>
            <w:vAlign w:val="center"/>
          </w:tcPr>
          <w:p w14:paraId="378C63CB" w14:textId="77777777" w:rsidR="00C015CA" w:rsidRPr="00C015CA" w:rsidRDefault="00C015CA" w:rsidP="00C015CA">
            <w:pPr>
              <w:adjustRightInd w:val="0"/>
              <w:snapToGrid w:val="0"/>
              <w:jc w:val="center"/>
              <w:rPr>
                <w:rFonts w:ascii="Times New Roman" w:eastAsia="宋体" w:hAnsi="Times New Roman" w:cs="Times New Roman"/>
                <w:sz w:val="24"/>
                <w:szCs w:val="24"/>
                <w:lang w:val="zh-CN"/>
              </w:rPr>
            </w:pPr>
            <w:r w:rsidRPr="00C015CA">
              <w:rPr>
                <w:rFonts w:ascii="Times New Roman" w:eastAsia="宋体" w:hAnsi="Times New Roman" w:cs="Times New Roman" w:hint="eastAsia"/>
                <w:sz w:val="24"/>
                <w:szCs w:val="24"/>
                <w:lang w:val="zh-CN"/>
              </w:rPr>
              <w:t>指</w:t>
            </w:r>
          </w:p>
        </w:tc>
        <w:tc>
          <w:tcPr>
            <w:tcW w:w="3432" w:type="pct"/>
            <w:vAlign w:val="center"/>
          </w:tcPr>
          <w:p w14:paraId="1FDD3685" w14:textId="77777777" w:rsidR="00C015CA" w:rsidRPr="00C015CA" w:rsidRDefault="00C015CA" w:rsidP="00C015CA">
            <w:pPr>
              <w:adjustRightInd w:val="0"/>
              <w:snapToGrid w:val="0"/>
              <w:rPr>
                <w:rFonts w:ascii="Times New Roman" w:eastAsia="宋体" w:hAnsi="Times New Roman" w:cs="Times New Roman"/>
                <w:sz w:val="24"/>
                <w:szCs w:val="24"/>
                <w:lang w:val="zh-CN"/>
              </w:rPr>
            </w:pPr>
            <w:r w:rsidRPr="00C015CA">
              <w:rPr>
                <w:rFonts w:ascii="Times New Roman" w:eastAsia="宋体" w:hAnsi="Times New Roman" w:cs="Times New Roman" w:hint="eastAsia"/>
                <w:sz w:val="24"/>
                <w:szCs w:val="24"/>
                <w:lang w:val="zh-CN"/>
              </w:rPr>
              <w:t>招商证券股份有限公司</w:t>
            </w:r>
          </w:p>
        </w:tc>
      </w:tr>
      <w:tr w:rsidR="00C015CA" w:rsidRPr="00C015CA" w14:paraId="3146E852" w14:textId="77777777" w:rsidTr="009833A8">
        <w:trPr>
          <w:trHeight w:val="340"/>
        </w:trPr>
        <w:tc>
          <w:tcPr>
            <w:tcW w:w="1132" w:type="pct"/>
            <w:vAlign w:val="center"/>
          </w:tcPr>
          <w:p w14:paraId="6DE65B80"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立信会计师事务所</w:t>
            </w:r>
            <w:r w:rsidRPr="00C015CA">
              <w:rPr>
                <w:rFonts w:ascii="Times New Roman" w:eastAsia="宋体" w:hAnsi="Times New Roman" w:cs="Times New Roman" w:hint="eastAsia"/>
                <w:sz w:val="24"/>
                <w:szCs w:val="24"/>
              </w:rPr>
              <w:t>/</w:t>
            </w:r>
            <w:r w:rsidRPr="00C015CA">
              <w:rPr>
                <w:rFonts w:ascii="Times New Roman" w:eastAsia="宋体" w:hAnsi="Times New Roman" w:cs="Times New Roman" w:hint="eastAsia"/>
                <w:sz w:val="24"/>
                <w:szCs w:val="24"/>
              </w:rPr>
              <w:t>立信</w:t>
            </w:r>
          </w:p>
        </w:tc>
        <w:tc>
          <w:tcPr>
            <w:tcW w:w="436" w:type="pct"/>
            <w:vAlign w:val="center"/>
          </w:tcPr>
          <w:p w14:paraId="39513A1B"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7C2EFA57"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立信会计师事务所（特殊普通合伙）</w:t>
            </w:r>
          </w:p>
        </w:tc>
      </w:tr>
      <w:tr w:rsidR="00C015CA" w:rsidRPr="00C015CA" w14:paraId="00832ABA" w14:textId="77777777" w:rsidTr="009833A8">
        <w:trPr>
          <w:trHeight w:val="340"/>
        </w:trPr>
        <w:tc>
          <w:tcPr>
            <w:tcW w:w="1132" w:type="pct"/>
            <w:vAlign w:val="center"/>
          </w:tcPr>
          <w:p w14:paraId="084B706D"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中资资产评估</w:t>
            </w:r>
          </w:p>
        </w:tc>
        <w:tc>
          <w:tcPr>
            <w:tcW w:w="436" w:type="pct"/>
            <w:vAlign w:val="center"/>
          </w:tcPr>
          <w:p w14:paraId="5124C8E2" w14:textId="77777777" w:rsidR="00C015CA" w:rsidRPr="00C015CA" w:rsidRDefault="00C015CA" w:rsidP="00C015CA">
            <w:pPr>
              <w:adjustRightInd w:val="0"/>
              <w:snapToGrid w:val="0"/>
              <w:jc w:val="center"/>
              <w:rPr>
                <w:rFonts w:ascii="Times New Roman" w:eastAsia="宋体" w:hAnsi="Times New Roman" w:cs="Times New Roman"/>
                <w:sz w:val="24"/>
                <w:szCs w:val="24"/>
                <w:lang w:val="zh-CN"/>
              </w:rPr>
            </w:pPr>
            <w:r w:rsidRPr="00C015CA">
              <w:rPr>
                <w:rFonts w:ascii="Times New Roman" w:eastAsia="宋体" w:hAnsi="Times New Roman" w:cs="Times New Roman"/>
                <w:sz w:val="24"/>
                <w:szCs w:val="24"/>
                <w:lang w:val="zh-CN"/>
              </w:rPr>
              <w:t>指</w:t>
            </w:r>
          </w:p>
        </w:tc>
        <w:tc>
          <w:tcPr>
            <w:tcW w:w="3432" w:type="pct"/>
            <w:vAlign w:val="center"/>
          </w:tcPr>
          <w:p w14:paraId="0B3B644A" w14:textId="77777777" w:rsidR="00C015CA" w:rsidRPr="00C015CA" w:rsidRDefault="00C015CA" w:rsidP="00C015CA">
            <w:pPr>
              <w:adjustRightInd w:val="0"/>
              <w:snapToGrid w:val="0"/>
              <w:rPr>
                <w:rFonts w:ascii="Times New Roman" w:eastAsia="宋体" w:hAnsi="Times New Roman" w:cs="Times New Roman"/>
                <w:color w:val="000000"/>
                <w:sz w:val="24"/>
                <w:szCs w:val="24"/>
              </w:rPr>
            </w:pPr>
            <w:r w:rsidRPr="00C015CA">
              <w:rPr>
                <w:rFonts w:ascii="Times New Roman" w:eastAsia="宋体" w:hAnsi="Times New Roman" w:cs="Times New Roman"/>
                <w:color w:val="000000"/>
                <w:sz w:val="24"/>
                <w:szCs w:val="24"/>
              </w:rPr>
              <w:t>中资资产评估有限公司</w:t>
            </w:r>
          </w:p>
        </w:tc>
      </w:tr>
      <w:tr w:rsidR="00C015CA" w:rsidRPr="00C015CA" w14:paraId="2D79B7E8" w14:textId="77777777" w:rsidTr="009833A8">
        <w:trPr>
          <w:trHeight w:val="340"/>
        </w:trPr>
        <w:tc>
          <w:tcPr>
            <w:tcW w:w="1132" w:type="pct"/>
            <w:vAlign w:val="center"/>
          </w:tcPr>
          <w:p w14:paraId="430ACBC1"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lastRenderedPageBreak/>
              <w:t>《公司法》</w:t>
            </w:r>
          </w:p>
        </w:tc>
        <w:tc>
          <w:tcPr>
            <w:tcW w:w="436" w:type="pct"/>
            <w:vAlign w:val="center"/>
          </w:tcPr>
          <w:p w14:paraId="10378F12"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3E787051"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《中华人民共和国公司法》</w:t>
            </w:r>
          </w:p>
        </w:tc>
      </w:tr>
      <w:tr w:rsidR="00C015CA" w:rsidRPr="00C015CA" w14:paraId="0D18959D" w14:textId="77777777" w:rsidTr="009833A8">
        <w:trPr>
          <w:trHeight w:val="340"/>
        </w:trPr>
        <w:tc>
          <w:tcPr>
            <w:tcW w:w="1132" w:type="pct"/>
            <w:vAlign w:val="center"/>
          </w:tcPr>
          <w:p w14:paraId="31910903"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《证券法》</w:t>
            </w:r>
          </w:p>
        </w:tc>
        <w:tc>
          <w:tcPr>
            <w:tcW w:w="436" w:type="pct"/>
            <w:vAlign w:val="center"/>
          </w:tcPr>
          <w:p w14:paraId="241387BE"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1C4B3AB9"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《中华人民共和国证券法》</w:t>
            </w:r>
          </w:p>
        </w:tc>
      </w:tr>
      <w:tr w:rsidR="00C015CA" w:rsidRPr="00C015CA" w14:paraId="2DEDAA90" w14:textId="77777777" w:rsidTr="009833A8">
        <w:trPr>
          <w:trHeight w:val="340"/>
        </w:trPr>
        <w:tc>
          <w:tcPr>
            <w:tcW w:w="1132" w:type="pct"/>
            <w:vAlign w:val="center"/>
          </w:tcPr>
          <w:p w14:paraId="033069AD"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《上市规则》</w:t>
            </w:r>
          </w:p>
        </w:tc>
        <w:tc>
          <w:tcPr>
            <w:tcW w:w="436" w:type="pct"/>
            <w:vAlign w:val="center"/>
          </w:tcPr>
          <w:p w14:paraId="7352C9D1"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4A154B11"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《上海证券交易所股票上市规则》</w:t>
            </w:r>
          </w:p>
        </w:tc>
      </w:tr>
      <w:tr w:rsidR="00C015CA" w:rsidRPr="00C015CA" w14:paraId="29BAE445" w14:textId="77777777" w:rsidTr="009833A8">
        <w:trPr>
          <w:trHeight w:val="340"/>
        </w:trPr>
        <w:tc>
          <w:tcPr>
            <w:tcW w:w="1132" w:type="pct"/>
            <w:vAlign w:val="center"/>
          </w:tcPr>
          <w:p w14:paraId="11B5128F"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《重组管理办法》</w:t>
            </w:r>
          </w:p>
        </w:tc>
        <w:tc>
          <w:tcPr>
            <w:tcW w:w="436" w:type="pct"/>
            <w:vAlign w:val="center"/>
          </w:tcPr>
          <w:p w14:paraId="6A95ACEC"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指</w:t>
            </w:r>
          </w:p>
        </w:tc>
        <w:tc>
          <w:tcPr>
            <w:tcW w:w="3432" w:type="pct"/>
            <w:vAlign w:val="center"/>
          </w:tcPr>
          <w:p w14:paraId="0B17C3B0"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lang w:val="zh-CN"/>
              </w:rPr>
              <w:t>《上市公司重大资产重组管理办法》</w:t>
            </w:r>
          </w:p>
        </w:tc>
      </w:tr>
      <w:tr w:rsidR="00C015CA" w:rsidRPr="00C015CA" w14:paraId="38F96FFC" w14:textId="77777777" w:rsidTr="009833A8">
        <w:trPr>
          <w:trHeight w:val="340"/>
        </w:trPr>
        <w:tc>
          <w:tcPr>
            <w:tcW w:w="1132" w:type="pct"/>
            <w:vAlign w:val="center"/>
          </w:tcPr>
          <w:p w14:paraId="01D400CA"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元、万元、亿元</w:t>
            </w:r>
          </w:p>
        </w:tc>
        <w:tc>
          <w:tcPr>
            <w:tcW w:w="436" w:type="pct"/>
            <w:vAlign w:val="center"/>
          </w:tcPr>
          <w:p w14:paraId="3D2EF111" w14:textId="77777777" w:rsidR="00C015CA" w:rsidRPr="00C015CA" w:rsidRDefault="00C015CA" w:rsidP="00C015CA">
            <w:pPr>
              <w:adjustRightInd w:val="0"/>
              <w:snapToGrid w:val="0"/>
              <w:jc w:val="center"/>
              <w:rPr>
                <w:rFonts w:ascii="Times New Roman" w:eastAsia="宋体" w:hAnsi="Times New Roman" w:cs="Times New Roman"/>
                <w:sz w:val="24"/>
                <w:szCs w:val="24"/>
              </w:rPr>
            </w:pPr>
            <w:r w:rsidRPr="00C015CA">
              <w:rPr>
                <w:rFonts w:ascii="Times New Roman" w:eastAsia="宋体" w:hAnsi="Times New Roman" w:cs="Times New Roman"/>
                <w:sz w:val="24"/>
                <w:szCs w:val="24"/>
              </w:rPr>
              <w:t>指</w:t>
            </w:r>
          </w:p>
        </w:tc>
        <w:tc>
          <w:tcPr>
            <w:tcW w:w="3432" w:type="pct"/>
            <w:vAlign w:val="center"/>
          </w:tcPr>
          <w:p w14:paraId="4CE2EF0C" w14:textId="77777777" w:rsidR="00C015CA" w:rsidRPr="00C015CA" w:rsidRDefault="00C015CA" w:rsidP="00C015CA">
            <w:pPr>
              <w:adjustRightInd w:val="0"/>
              <w:snapToGrid w:val="0"/>
              <w:rPr>
                <w:rFonts w:ascii="Times New Roman" w:eastAsia="宋体" w:hAnsi="Times New Roman" w:cs="Times New Roman"/>
                <w:sz w:val="24"/>
                <w:szCs w:val="24"/>
              </w:rPr>
            </w:pPr>
            <w:r w:rsidRPr="00C015CA">
              <w:rPr>
                <w:rFonts w:ascii="Times New Roman" w:eastAsia="宋体" w:hAnsi="Times New Roman" w:cs="Times New Roman"/>
                <w:sz w:val="24"/>
                <w:szCs w:val="24"/>
              </w:rPr>
              <w:t>人民币元、万元、亿元</w:t>
            </w:r>
          </w:p>
        </w:tc>
      </w:tr>
    </w:tbl>
    <w:p w14:paraId="5449DB1B" w14:textId="43C6DA07" w:rsidR="00C015CA" w:rsidRPr="00C015CA" w:rsidRDefault="00C015CA" w:rsidP="00C01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56" w:line="360" w:lineRule="auto"/>
        <w:ind w:firstLineChars="200" w:firstLine="480"/>
        <w:rPr>
          <w:rFonts w:ascii="Times New Roman" w:eastAsia="宋体" w:hAnsi="Times New Roman" w:cs="Times New Roman"/>
          <w:sz w:val="24"/>
          <w:szCs w:val="24"/>
        </w:rPr>
      </w:pPr>
      <w:r w:rsidRPr="00C015CA">
        <w:rPr>
          <w:rFonts w:ascii="Times New Roman" w:eastAsia="宋体" w:hAnsi="Times New Roman" w:cs="Times New Roman" w:hint="eastAsia"/>
          <w:sz w:val="24"/>
          <w:szCs w:val="24"/>
        </w:rPr>
        <w:t>除特别说明外，本</w:t>
      </w:r>
      <w:r w:rsidR="009C2B39">
        <w:rPr>
          <w:rFonts w:ascii="Times New Roman" w:eastAsia="宋体" w:hAnsi="Times New Roman" w:cs="Times New Roman" w:hint="eastAsia"/>
          <w:sz w:val="24"/>
          <w:szCs w:val="24"/>
        </w:rPr>
        <w:t>报告书</w:t>
      </w:r>
      <w:r w:rsidRPr="00C015CA">
        <w:rPr>
          <w:rFonts w:ascii="Times New Roman" w:eastAsia="宋体" w:hAnsi="Times New Roman" w:cs="Times New Roman" w:hint="eastAsia"/>
          <w:sz w:val="24"/>
          <w:szCs w:val="24"/>
        </w:rPr>
        <w:t>中所有数值均保留两位小数，若出现总数与各分项数值之和尾数不符的情况，均为四舍五入原因造成。</w:t>
      </w:r>
    </w:p>
    <w:p w14:paraId="1B0C2DC1" w14:textId="59B2C352" w:rsidR="00C015CA" w:rsidRDefault="00C015CA" w:rsidP="00307D6B">
      <w:pPr>
        <w:spacing w:afterLines="50" w:after="156" w:line="360" w:lineRule="auto"/>
        <w:ind w:firstLineChars="200" w:firstLine="480"/>
        <w:rPr>
          <w:rFonts w:ascii="Times New Roman" w:eastAsia="宋体" w:hAnsi="Times New Roman" w:cs="Times New Roman"/>
          <w:sz w:val="24"/>
          <w:szCs w:val="24"/>
        </w:rPr>
      </w:pPr>
    </w:p>
    <w:p w14:paraId="39FBF3F6" w14:textId="77777777" w:rsidR="00C015CA" w:rsidRDefault="00C015CA">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4B97464" w14:textId="3E06F436" w:rsidR="00307D6B" w:rsidRPr="002C0D21" w:rsidRDefault="00C015CA" w:rsidP="00A00E78">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lastRenderedPageBreak/>
        <w:t>招商证券作为</w:t>
      </w:r>
      <w:r w:rsidR="00A00E78" w:rsidRPr="002C0D21">
        <w:rPr>
          <w:rFonts w:ascii="宋体" w:eastAsia="宋体" w:hAnsi="宋体" w:hint="eastAsia"/>
          <w:sz w:val="24"/>
          <w:szCs w:val="24"/>
        </w:rPr>
        <w:t>本次大唐电信科技股份有限公司重大资产重组暨关联交易</w:t>
      </w:r>
      <w:r w:rsidRPr="002C0D21">
        <w:rPr>
          <w:rFonts w:ascii="宋体" w:eastAsia="宋体" w:hAnsi="宋体" w:hint="eastAsia"/>
          <w:sz w:val="24"/>
          <w:szCs w:val="24"/>
        </w:rPr>
        <w:t>的独立财务顾问，依照《重组管理办法》、《上市公司并购重组财务顾问业务管理办法》等有关法律法规的规定，对大唐电信进行持续督导。</w:t>
      </w:r>
      <w:proofErr w:type="gramStart"/>
      <w:r w:rsidRPr="002C0D21">
        <w:rPr>
          <w:rFonts w:ascii="宋体" w:eastAsia="宋体" w:hAnsi="宋体" w:hint="eastAsia"/>
          <w:sz w:val="24"/>
          <w:szCs w:val="24"/>
        </w:rPr>
        <w:t>本独立</w:t>
      </w:r>
      <w:proofErr w:type="gramEnd"/>
      <w:r w:rsidRPr="002C0D21">
        <w:rPr>
          <w:rFonts w:ascii="宋体" w:eastAsia="宋体" w:hAnsi="宋体" w:hint="eastAsia"/>
          <w:sz w:val="24"/>
          <w:szCs w:val="24"/>
        </w:rPr>
        <w:t>财务顾问就大唐电信本次</w:t>
      </w:r>
      <w:r w:rsidR="00A00E78" w:rsidRPr="002C0D21">
        <w:rPr>
          <w:rFonts w:ascii="宋体" w:eastAsia="宋体" w:hAnsi="宋体" w:hint="eastAsia"/>
          <w:sz w:val="24"/>
          <w:szCs w:val="24"/>
        </w:rPr>
        <w:t>重大资产重组暨关联交易</w:t>
      </w:r>
      <w:r w:rsidRPr="002C0D21">
        <w:rPr>
          <w:rFonts w:ascii="宋体" w:eastAsia="宋体" w:hAnsi="宋体" w:hint="eastAsia"/>
          <w:sz w:val="24"/>
          <w:szCs w:val="24"/>
        </w:rPr>
        <w:t>相关事项发表持续督导意见如下：</w:t>
      </w:r>
    </w:p>
    <w:p w14:paraId="62D2F69A" w14:textId="60D8334D" w:rsidR="0003773A" w:rsidRPr="007D16DB" w:rsidRDefault="007D16DB" w:rsidP="007D16DB">
      <w:pPr>
        <w:spacing w:beforeLines="50" w:before="156" w:afterLines="50" w:after="156" w:line="360" w:lineRule="auto"/>
        <w:ind w:left="709" w:hanging="482"/>
        <w:outlineLvl w:val="0"/>
        <w:rPr>
          <w:rFonts w:ascii="宋体" w:eastAsia="宋体" w:hAnsi="宋体"/>
          <w:b/>
          <w:bCs/>
          <w:sz w:val="28"/>
          <w:szCs w:val="28"/>
        </w:rPr>
      </w:pPr>
      <w:r w:rsidRPr="002C0D21">
        <w:rPr>
          <w:rFonts w:ascii="宋体" w:eastAsia="宋体" w:hAnsi="宋体"/>
          <w:b/>
          <w:bCs/>
          <w:sz w:val="28"/>
          <w:szCs w:val="28"/>
        </w:rPr>
        <w:t>一、</w:t>
      </w:r>
      <w:r w:rsidRPr="002C0D21">
        <w:rPr>
          <w:rFonts w:ascii="宋体" w:eastAsia="宋体" w:hAnsi="宋体"/>
          <w:b/>
          <w:bCs/>
          <w:sz w:val="28"/>
          <w:szCs w:val="28"/>
        </w:rPr>
        <w:tab/>
      </w:r>
      <w:r w:rsidR="00A00E78" w:rsidRPr="007D16DB">
        <w:rPr>
          <w:rFonts w:ascii="宋体" w:eastAsia="宋体" w:hAnsi="宋体" w:hint="eastAsia"/>
          <w:b/>
          <w:bCs/>
          <w:sz w:val="28"/>
          <w:szCs w:val="28"/>
        </w:rPr>
        <w:t>交易资产的交付或者过户情况</w:t>
      </w:r>
    </w:p>
    <w:p w14:paraId="7FE0C013" w14:textId="77777777" w:rsidR="009C2B39" w:rsidRPr="009C2B39" w:rsidRDefault="009C2B39" w:rsidP="009C2B39">
      <w:pPr>
        <w:spacing w:beforeLines="50" w:before="156" w:afterLines="50" w:after="156" w:line="360" w:lineRule="auto"/>
        <w:ind w:left="1179" w:hanging="720"/>
        <w:outlineLvl w:val="1"/>
        <w:rPr>
          <w:rFonts w:ascii="宋体" w:eastAsia="宋体" w:hAnsi="宋体"/>
          <w:b/>
          <w:bCs/>
          <w:sz w:val="24"/>
          <w:szCs w:val="24"/>
        </w:rPr>
      </w:pPr>
      <w:r w:rsidRPr="009C2B39">
        <w:rPr>
          <w:rFonts w:ascii="宋体" w:eastAsia="宋体" w:hAnsi="宋体" w:hint="eastAsia"/>
          <w:b/>
          <w:bCs/>
          <w:sz w:val="24"/>
          <w:szCs w:val="24"/>
        </w:rPr>
        <w:t>（一）总体方案</w:t>
      </w:r>
    </w:p>
    <w:p w14:paraId="6C35A2C5" w14:textId="77777777" w:rsidR="009C2B39" w:rsidRPr="0019766D" w:rsidRDefault="009C2B39" w:rsidP="009C2B39">
      <w:pPr>
        <w:widowControl/>
        <w:spacing w:beforeLines="50" w:before="156" w:afterLines="50" w:after="156" w:line="360" w:lineRule="auto"/>
        <w:ind w:leftChars="50" w:left="105" w:rightChars="50" w:right="105" w:firstLine="482"/>
        <w:rPr>
          <w:rFonts w:ascii="Times New Roman" w:eastAsia="宋体" w:hAnsi="Times New Roman" w:cs="仿宋"/>
          <w:bCs/>
          <w:sz w:val="24"/>
          <w:szCs w:val="24"/>
        </w:rPr>
      </w:pPr>
      <w:r w:rsidRPr="0019766D">
        <w:rPr>
          <w:rFonts w:ascii="Times New Roman" w:eastAsia="宋体" w:hAnsi="Times New Roman" w:cs="仿宋" w:hint="eastAsia"/>
          <w:bCs/>
          <w:sz w:val="24"/>
          <w:szCs w:val="24"/>
        </w:rPr>
        <w:t>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通过在北交所以公开挂牌方式，引入徐州汽车基金作为增资方对其现金增资</w:t>
      </w:r>
      <w:r w:rsidRPr="0019766D">
        <w:rPr>
          <w:rFonts w:ascii="Times New Roman" w:eastAsia="宋体" w:hAnsi="Times New Roman" w:cs="仿宋" w:hint="eastAsia"/>
          <w:bCs/>
          <w:sz w:val="24"/>
          <w:szCs w:val="24"/>
        </w:rPr>
        <w:t>1,683</w:t>
      </w:r>
      <w:r w:rsidRPr="0019766D">
        <w:rPr>
          <w:rFonts w:ascii="Times New Roman" w:eastAsia="宋体" w:hAnsi="Times New Roman" w:cs="仿宋" w:hint="eastAsia"/>
          <w:bCs/>
          <w:sz w:val="24"/>
          <w:szCs w:val="24"/>
        </w:rPr>
        <w:t>万美元，占本次大唐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增资扩股后大唐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27.41%</w:t>
      </w:r>
      <w:r w:rsidRPr="0019766D">
        <w:rPr>
          <w:rFonts w:ascii="Times New Roman" w:eastAsia="宋体" w:hAnsi="Times New Roman" w:cs="仿宋" w:hint="eastAsia"/>
          <w:bCs/>
          <w:sz w:val="24"/>
          <w:szCs w:val="24"/>
        </w:rPr>
        <w:t>股权，同时</w:t>
      </w:r>
      <w:proofErr w:type="gramStart"/>
      <w:r w:rsidRPr="0019766D">
        <w:rPr>
          <w:rFonts w:ascii="Times New Roman" w:eastAsia="宋体" w:hAnsi="Times New Roman" w:cs="仿宋" w:hint="eastAsia"/>
          <w:bCs/>
          <w:sz w:val="24"/>
          <w:szCs w:val="24"/>
        </w:rPr>
        <w:t>恩智浦按</w:t>
      </w:r>
      <w:proofErr w:type="gramEnd"/>
      <w:r w:rsidRPr="0019766D">
        <w:rPr>
          <w:rFonts w:ascii="Times New Roman" w:eastAsia="宋体" w:hAnsi="Times New Roman" w:cs="仿宋" w:hint="eastAsia"/>
          <w:bCs/>
          <w:sz w:val="24"/>
          <w:szCs w:val="24"/>
        </w:rPr>
        <w:t>其持股比例对大唐</w:t>
      </w:r>
      <w:proofErr w:type="gramStart"/>
      <w:r w:rsidRPr="0019766D">
        <w:rPr>
          <w:rFonts w:ascii="Times New Roman" w:eastAsia="宋体" w:hAnsi="Times New Roman" w:cs="仿宋" w:hint="eastAsia"/>
          <w:bCs/>
          <w:sz w:val="24"/>
          <w:szCs w:val="24"/>
        </w:rPr>
        <w:t>恩智浦同</w:t>
      </w:r>
      <w:proofErr w:type="gramEnd"/>
      <w:r w:rsidRPr="0019766D">
        <w:rPr>
          <w:rFonts w:ascii="Times New Roman" w:eastAsia="宋体" w:hAnsi="Times New Roman" w:cs="仿宋" w:hint="eastAsia"/>
          <w:bCs/>
          <w:sz w:val="24"/>
          <w:szCs w:val="24"/>
        </w:rPr>
        <w:t>比例增资</w:t>
      </w:r>
      <w:r w:rsidRPr="0019766D">
        <w:rPr>
          <w:rFonts w:ascii="Times New Roman" w:eastAsia="宋体" w:hAnsi="Times New Roman" w:cs="仿宋" w:hint="eastAsia"/>
          <w:bCs/>
          <w:sz w:val="24"/>
          <w:szCs w:val="24"/>
        </w:rPr>
        <w:t>1,617</w:t>
      </w:r>
      <w:r w:rsidRPr="0019766D">
        <w:rPr>
          <w:rFonts w:ascii="Times New Roman" w:eastAsia="宋体" w:hAnsi="Times New Roman" w:cs="仿宋" w:hint="eastAsia"/>
          <w:bCs/>
          <w:sz w:val="24"/>
          <w:szCs w:val="24"/>
        </w:rPr>
        <w:t>万美元，占本次大唐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增资扩股后大唐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26.33%</w:t>
      </w:r>
      <w:r w:rsidRPr="0019766D">
        <w:rPr>
          <w:rFonts w:ascii="Times New Roman" w:eastAsia="宋体" w:hAnsi="Times New Roman" w:cs="仿宋" w:hint="eastAsia"/>
          <w:bCs/>
          <w:sz w:val="24"/>
          <w:szCs w:val="24"/>
        </w:rPr>
        <w:t>股权，加上</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在增资前拥有大唐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股权，</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合计占本次大唐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增资扩股后大唐</w:t>
      </w:r>
      <w:proofErr w:type="gramStart"/>
      <w:r w:rsidRPr="0019766D">
        <w:rPr>
          <w:rFonts w:ascii="Times New Roman" w:eastAsia="宋体" w:hAnsi="Times New Roman" w:cs="仿宋" w:hint="eastAsia"/>
          <w:bCs/>
          <w:sz w:val="24"/>
          <w:szCs w:val="24"/>
        </w:rPr>
        <w:t>恩智浦</w:t>
      </w:r>
      <w:proofErr w:type="gramEnd"/>
      <w:r w:rsidRPr="0019766D">
        <w:rPr>
          <w:rFonts w:ascii="Times New Roman" w:eastAsia="宋体" w:hAnsi="Times New Roman" w:cs="仿宋" w:hint="eastAsia"/>
          <w:bCs/>
          <w:sz w:val="24"/>
          <w:szCs w:val="24"/>
        </w:rPr>
        <w:t>49%</w:t>
      </w:r>
      <w:r w:rsidRPr="0019766D">
        <w:rPr>
          <w:rFonts w:ascii="Times New Roman" w:eastAsia="宋体" w:hAnsi="Times New Roman" w:cs="仿宋" w:hint="eastAsia"/>
          <w:bCs/>
          <w:sz w:val="24"/>
          <w:szCs w:val="24"/>
        </w:rPr>
        <w:t>股权。</w:t>
      </w:r>
    </w:p>
    <w:p w14:paraId="60B241CC" w14:textId="77777777" w:rsidR="009C2B39" w:rsidRPr="0019766D" w:rsidRDefault="009C2B39" w:rsidP="009C2B39">
      <w:pPr>
        <w:widowControl/>
        <w:spacing w:beforeLines="50" w:before="156" w:afterLines="50" w:after="156" w:line="360" w:lineRule="auto"/>
        <w:ind w:leftChars="50" w:left="105" w:rightChars="50" w:right="105" w:firstLine="482"/>
        <w:rPr>
          <w:rFonts w:ascii="Times New Roman" w:eastAsia="宋体" w:hAnsi="Times New Roman" w:cs="仿宋"/>
          <w:bCs/>
          <w:sz w:val="24"/>
          <w:szCs w:val="24"/>
        </w:rPr>
      </w:pPr>
      <w:r w:rsidRPr="0019766D">
        <w:rPr>
          <w:rFonts w:ascii="Times New Roman" w:eastAsia="宋体" w:hAnsi="Times New Roman" w:cs="仿宋" w:hint="eastAsia"/>
          <w:bCs/>
          <w:sz w:val="24"/>
          <w:szCs w:val="24"/>
        </w:rPr>
        <w:t>江苏安</w:t>
      </w:r>
      <w:proofErr w:type="gramStart"/>
      <w:r w:rsidRPr="0019766D">
        <w:rPr>
          <w:rFonts w:ascii="Times New Roman" w:eastAsia="宋体" w:hAnsi="Times New Roman" w:cs="仿宋" w:hint="eastAsia"/>
          <w:bCs/>
          <w:sz w:val="24"/>
          <w:szCs w:val="24"/>
        </w:rPr>
        <w:t>防通过</w:t>
      </w:r>
      <w:proofErr w:type="gramEnd"/>
      <w:r w:rsidRPr="0019766D">
        <w:rPr>
          <w:rFonts w:ascii="Times New Roman" w:eastAsia="宋体" w:hAnsi="Times New Roman" w:cs="仿宋" w:hint="eastAsia"/>
          <w:bCs/>
          <w:sz w:val="24"/>
          <w:szCs w:val="24"/>
        </w:rPr>
        <w:t>在北交所以公开挂牌方式，引入徐州</w:t>
      </w:r>
      <w:proofErr w:type="gramStart"/>
      <w:r w:rsidRPr="0019766D">
        <w:rPr>
          <w:rFonts w:ascii="Times New Roman" w:eastAsia="宋体" w:hAnsi="Times New Roman" w:cs="仿宋" w:hint="eastAsia"/>
          <w:bCs/>
          <w:sz w:val="24"/>
          <w:szCs w:val="24"/>
        </w:rPr>
        <w:t>智安基金</w:t>
      </w:r>
      <w:proofErr w:type="gramEnd"/>
      <w:r w:rsidRPr="0019766D">
        <w:rPr>
          <w:rFonts w:ascii="Times New Roman" w:eastAsia="宋体" w:hAnsi="Times New Roman" w:cs="仿宋" w:hint="eastAsia"/>
          <w:bCs/>
          <w:sz w:val="24"/>
          <w:szCs w:val="24"/>
        </w:rPr>
        <w:t>作为增资方对其现金增资</w:t>
      </w:r>
      <w:r w:rsidRPr="0019766D">
        <w:rPr>
          <w:rFonts w:ascii="Times New Roman" w:eastAsia="宋体" w:hAnsi="Times New Roman" w:cs="仿宋" w:hint="eastAsia"/>
          <w:bCs/>
          <w:sz w:val="24"/>
          <w:szCs w:val="24"/>
        </w:rPr>
        <w:t>13,500</w:t>
      </w:r>
      <w:r w:rsidRPr="0019766D">
        <w:rPr>
          <w:rFonts w:ascii="Times New Roman" w:eastAsia="宋体" w:hAnsi="Times New Roman" w:cs="仿宋" w:hint="eastAsia"/>
          <w:bCs/>
          <w:sz w:val="24"/>
          <w:szCs w:val="24"/>
        </w:rPr>
        <w:t>万元，占本次江苏安防增资扩股后江苏安防</w:t>
      </w:r>
      <w:r w:rsidRPr="0019766D">
        <w:rPr>
          <w:rFonts w:ascii="Times New Roman" w:eastAsia="宋体" w:hAnsi="Times New Roman" w:cs="仿宋" w:hint="eastAsia"/>
          <w:bCs/>
          <w:sz w:val="24"/>
          <w:szCs w:val="24"/>
        </w:rPr>
        <w:t>24.83%</w:t>
      </w:r>
      <w:r w:rsidRPr="0019766D">
        <w:rPr>
          <w:rFonts w:ascii="Times New Roman" w:eastAsia="宋体" w:hAnsi="Times New Roman" w:cs="仿宋" w:hint="eastAsia"/>
          <w:bCs/>
          <w:sz w:val="24"/>
          <w:szCs w:val="24"/>
        </w:rPr>
        <w:t>股权。</w:t>
      </w:r>
    </w:p>
    <w:p w14:paraId="3CCEF7BA" w14:textId="77777777" w:rsidR="004545B3" w:rsidRDefault="009C2B39" w:rsidP="004545B3">
      <w:pPr>
        <w:widowControl/>
        <w:spacing w:beforeLines="50" w:before="156" w:afterLines="50" w:after="156" w:line="360" w:lineRule="auto"/>
        <w:ind w:leftChars="50" w:left="105" w:rightChars="50" w:right="105" w:firstLine="482"/>
        <w:rPr>
          <w:rFonts w:ascii="Times New Roman" w:eastAsia="宋体" w:hAnsi="Times New Roman" w:cs="仿宋"/>
          <w:bCs/>
          <w:sz w:val="24"/>
          <w:szCs w:val="24"/>
        </w:rPr>
      </w:pPr>
      <w:proofErr w:type="gramStart"/>
      <w:r w:rsidRPr="0019766D">
        <w:rPr>
          <w:rFonts w:ascii="Times New Roman" w:eastAsia="宋体" w:hAnsi="Times New Roman" w:cs="仿宋" w:hint="eastAsia"/>
          <w:bCs/>
          <w:sz w:val="24"/>
          <w:szCs w:val="24"/>
        </w:rPr>
        <w:t>联芯科技</w:t>
      </w:r>
      <w:proofErr w:type="gramEnd"/>
      <w:r w:rsidRPr="0019766D">
        <w:rPr>
          <w:rFonts w:ascii="Times New Roman" w:eastAsia="宋体" w:hAnsi="Times New Roman" w:cs="仿宋" w:hint="eastAsia"/>
          <w:bCs/>
          <w:sz w:val="24"/>
          <w:szCs w:val="24"/>
        </w:rPr>
        <w:t>通过在北交所以公开挂牌方式，将其持有的</w:t>
      </w:r>
      <w:proofErr w:type="gramStart"/>
      <w:r w:rsidRPr="0019766D">
        <w:rPr>
          <w:rFonts w:ascii="Times New Roman" w:eastAsia="宋体" w:hAnsi="Times New Roman" w:cs="仿宋" w:hint="eastAsia"/>
          <w:bCs/>
          <w:sz w:val="24"/>
          <w:szCs w:val="24"/>
        </w:rPr>
        <w:t>宸芯科技</w:t>
      </w:r>
      <w:proofErr w:type="gramEnd"/>
      <w:r w:rsidRPr="0019766D">
        <w:rPr>
          <w:rFonts w:ascii="Times New Roman" w:eastAsia="宋体" w:hAnsi="Times New Roman" w:cs="仿宋" w:hint="eastAsia"/>
          <w:bCs/>
          <w:sz w:val="24"/>
          <w:szCs w:val="24"/>
        </w:rPr>
        <w:t>15%</w:t>
      </w:r>
      <w:r w:rsidRPr="0019766D">
        <w:rPr>
          <w:rFonts w:ascii="Times New Roman" w:eastAsia="宋体" w:hAnsi="Times New Roman" w:cs="仿宋" w:hint="eastAsia"/>
          <w:bCs/>
          <w:sz w:val="24"/>
          <w:szCs w:val="24"/>
        </w:rPr>
        <w:t>股权转让给联合体。联合体成员为浙江制造基金合伙企业（有限合伙）、深圳市红马全晟投资中心（有限合伙）、北京楚星融智咨询有限公司、日照</w:t>
      </w:r>
      <w:proofErr w:type="gramStart"/>
      <w:r w:rsidRPr="0019766D">
        <w:rPr>
          <w:rFonts w:ascii="Times New Roman" w:eastAsia="宋体" w:hAnsi="Times New Roman" w:cs="仿宋" w:hint="eastAsia"/>
          <w:bCs/>
          <w:sz w:val="24"/>
          <w:szCs w:val="24"/>
        </w:rPr>
        <w:t>宸睿</w:t>
      </w:r>
      <w:proofErr w:type="gramEnd"/>
      <w:r w:rsidRPr="0019766D">
        <w:rPr>
          <w:rFonts w:ascii="Times New Roman" w:eastAsia="宋体" w:hAnsi="Times New Roman" w:cs="仿宋" w:hint="eastAsia"/>
          <w:bCs/>
          <w:sz w:val="24"/>
          <w:szCs w:val="24"/>
        </w:rPr>
        <w:t>联合一期股权投资管理中心（有限合伙）、南京</w:t>
      </w:r>
      <w:proofErr w:type="gramStart"/>
      <w:r w:rsidRPr="0019766D">
        <w:rPr>
          <w:rFonts w:ascii="Times New Roman" w:eastAsia="宋体" w:hAnsi="Times New Roman" w:cs="仿宋" w:hint="eastAsia"/>
          <w:bCs/>
          <w:sz w:val="24"/>
          <w:szCs w:val="24"/>
        </w:rPr>
        <w:t>翎贲昭离</w:t>
      </w:r>
      <w:proofErr w:type="gramEnd"/>
      <w:r w:rsidRPr="0019766D">
        <w:rPr>
          <w:rFonts w:ascii="Times New Roman" w:eastAsia="宋体" w:hAnsi="Times New Roman" w:cs="仿宋" w:hint="eastAsia"/>
          <w:bCs/>
          <w:sz w:val="24"/>
          <w:szCs w:val="24"/>
        </w:rPr>
        <w:t>股权投资合伙企业（有限合伙）、天津</w:t>
      </w:r>
      <w:proofErr w:type="gramStart"/>
      <w:r w:rsidRPr="0019766D">
        <w:rPr>
          <w:rFonts w:ascii="Times New Roman" w:eastAsia="宋体" w:hAnsi="Times New Roman" w:cs="仿宋" w:hint="eastAsia"/>
          <w:bCs/>
          <w:sz w:val="24"/>
          <w:szCs w:val="24"/>
        </w:rPr>
        <w:t>维致瑾</w:t>
      </w:r>
      <w:proofErr w:type="gramEnd"/>
      <w:r w:rsidRPr="0019766D">
        <w:rPr>
          <w:rFonts w:ascii="Times New Roman" w:eastAsia="宋体" w:hAnsi="Times New Roman" w:cs="仿宋" w:hint="eastAsia"/>
          <w:bCs/>
          <w:sz w:val="24"/>
          <w:szCs w:val="24"/>
        </w:rPr>
        <w:t>企业管理咨询中心（有限合伙）、创新创业新动能股权投资基金（湖北）合伙企业（有限合伙）、北京紫岩连合科技有限公司。</w:t>
      </w:r>
    </w:p>
    <w:p w14:paraId="718E9B27" w14:textId="7F1752C3" w:rsidR="009C2B39" w:rsidRPr="006627B7" w:rsidRDefault="009C2B39" w:rsidP="004545B3">
      <w:pPr>
        <w:widowControl/>
        <w:spacing w:beforeLines="50" w:before="156" w:afterLines="50" w:after="156" w:line="360" w:lineRule="auto"/>
        <w:ind w:leftChars="50" w:left="105" w:rightChars="50" w:right="105" w:firstLine="482"/>
        <w:rPr>
          <w:rFonts w:ascii="Times New Roman" w:eastAsia="宋体" w:hAnsi="Times New Roman" w:cs="仿宋"/>
          <w:bCs/>
          <w:sz w:val="24"/>
          <w:szCs w:val="24"/>
        </w:rPr>
      </w:pPr>
      <w:r w:rsidRPr="0019766D">
        <w:rPr>
          <w:rFonts w:ascii="Times New Roman" w:eastAsia="宋体" w:hAnsi="Times New Roman" w:cs="仿宋" w:hint="eastAsia"/>
          <w:bCs/>
          <w:sz w:val="24"/>
          <w:szCs w:val="24"/>
        </w:rPr>
        <w:t>本次增资扩股完成后，大唐</w:t>
      </w:r>
      <w:proofErr w:type="gramStart"/>
      <w:r w:rsidRPr="0019766D">
        <w:rPr>
          <w:rFonts w:ascii="Times New Roman" w:eastAsia="宋体" w:hAnsi="Times New Roman" w:cs="仿宋" w:hint="eastAsia"/>
          <w:bCs/>
          <w:sz w:val="24"/>
          <w:szCs w:val="24"/>
        </w:rPr>
        <w:t>恩智浦与</w:t>
      </w:r>
      <w:proofErr w:type="gramEnd"/>
      <w:r w:rsidRPr="0019766D">
        <w:rPr>
          <w:rFonts w:ascii="Times New Roman" w:eastAsia="宋体" w:hAnsi="Times New Roman" w:cs="仿宋" w:hint="eastAsia"/>
          <w:bCs/>
          <w:sz w:val="24"/>
          <w:szCs w:val="24"/>
        </w:rPr>
        <w:t>江苏安</w:t>
      </w:r>
      <w:proofErr w:type="gramStart"/>
      <w:r w:rsidRPr="0019766D">
        <w:rPr>
          <w:rFonts w:ascii="Times New Roman" w:eastAsia="宋体" w:hAnsi="Times New Roman" w:cs="仿宋" w:hint="eastAsia"/>
          <w:bCs/>
          <w:sz w:val="24"/>
          <w:szCs w:val="24"/>
        </w:rPr>
        <w:t>防不再</w:t>
      </w:r>
      <w:proofErr w:type="gramEnd"/>
      <w:r w:rsidRPr="0019766D">
        <w:rPr>
          <w:rFonts w:ascii="Times New Roman" w:eastAsia="宋体" w:hAnsi="Times New Roman" w:cs="仿宋" w:hint="eastAsia"/>
          <w:bCs/>
          <w:sz w:val="24"/>
          <w:szCs w:val="24"/>
        </w:rPr>
        <w:t>纳入大唐电信合并报表范围。本次股权转让前，</w:t>
      </w:r>
      <w:proofErr w:type="gramStart"/>
      <w:r w:rsidRPr="0019766D">
        <w:rPr>
          <w:rFonts w:ascii="Times New Roman" w:eastAsia="宋体" w:hAnsi="Times New Roman" w:cs="仿宋" w:hint="eastAsia"/>
          <w:bCs/>
          <w:sz w:val="24"/>
          <w:szCs w:val="24"/>
        </w:rPr>
        <w:t>联芯科技持有宸芯科技</w:t>
      </w:r>
      <w:proofErr w:type="gramEnd"/>
      <w:r w:rsidRPr="0019766D">
        <w:rPr>
          <w:rFonts w:ascii="Times New Roman" w:eastAsia="宋体" w:hAnsi="Times New Roman" w:cs="仿宋" w:hint="eastAsia"/>
          <w:bCs/>
          <w:sz w:val="24"/>
          <w:szCs w:val="24"/>
        </w:rPr>
        <w:t>17.23%</w:t>
      </w:r>
      <w:r w:rsidRPr="0019766D">
        <w:rPr>
          <w:rFonts w:ascii="Times New Roman" w:eastAsia="宋体" w:hAnsi="Times New Roman" w:cs="仿宋" w:hint="eastAsia"/>
          <w:bCs/>
          <w:sz w:val="24"/>
          <w:szCs w:val="24"/>
        </w:rPr>
        <w:t>股权；本次股权转让后，</w:t>
      </w:r>
      <w:proofErr w:type="gramStart"/>
      <w:r w:rsidRPr="0019766D">
        <w:rPr>
          <w:rFonts w:ascii="Times New Roman" w:eastAsia="宋体" w:hAnsi="Times New Roman" w:cs="仿宋" w:hint="eastAsia"/>
          <w:bCs/>
          <w:sz w:val="24"/>
          <w:szCs w:val="24"/>
        </w:rPr>
        <w:t>联芯科技持有宸芯科技</w:t>
      </w:r>
      <w:proofErr w:type="gramEnd"/>
      <w:r w:rsidRPr="0019766D">
        <w:rPr>
          <w:rFonts w:ascii="Times New Roman" w:eastAsia="宋体" w:hAnsi="Times New Roman" w:cs="仿宋" w:hint="eastAsia"/>
          <w:bCs/>
          <w:sz w:val="24"/>
          <w:szCs w:val="24"/>
        </w:rPr>
        <w:t>2.23%</w:t>
      </w:r>
      <w:r w:rsidRPr="0019766D">
        <w:rPr>
          <w:rFonts w:ascii="Times New Roman" w:eastAsia="宋体" w:hAnsi="Times New Roman" w:cs="仿宋" w:hint="eastAsia"/>
          <w:bCs/>
          <w:sz w:val="24"/>
          <w:szCs w:val="24"/>
        </w:rPr>
        <w:t>股权。</w:t>
      </w:r>
    </w:p>
    <w:p w14:paraId="3676558C" w14:textId="344FC70C" w:rsidR="0003773A"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二</w:t>
      </w:r>
      <w:r w:rsidRPr="002C0D21">
        <w:rPr>
          <w:rFonts w:ascii="宋体" w:eastAsia="宋体" w:hAnsi="宋体"/>
          <w:b/>
          <w:bCs/>
          <w:sz w:val="24"/>
          <w:szCs w:val="24"/>
        </w:rPr>
        <w:t>）</w:t>
      </w:r>
      <w:r w:rsidRPr="002C0D21">
        <w:rPr>
          <w:rFonts w:ascii="宋体" w:eastAsia="宋体" w:hAnsi="宋体"/>
          <w:b/>
          <w:bCs/>
          <w:sz w:val="24"/>
          <w:szCs w:val="24"/>
        </w:rPr>
        <w:tab/>
      </w:r>
      <w:r w:rsidR="0003773A" w:rsidRPr="007D16DB">
        <w:rPr>
          <w:rFonts w:ascii="宋体" w:eastAsia="宋体" w:hAnsi="宋体" w:hint="eastAsia"/>
          <w:b/>
          <w:bCs/>
          <w:sz w:val="24"/>
          <w:szCs w:val="24"/>
        </w:rPr>
        <w:t>大唐</w:t>
      </w:r>
      <w:proofErr w:type="gramStart"/>
      <w:r w:rsidR="0003773A" w:rsidRPr="007D16DB">
        <w:rPr>
          <w:rFonts w:ascii="宋体" w:eastAsia="宋体" w:hAnsi="宋体" w:hint="eastAsia"/>
          <w:b/>
          <w:bCs/>
          <w:sz w:val="24"/>
          <w:szCs w:val="24"/>
        </w:rPr>
        <w:t>恩智浦交易</w:t>
      </w:r>
      <w:proofErr w:type="gramEnd"/>
      <w:r w:rsidR="0003773A" w:rsidRPr="007D16DB">
        <w:rPr>
          <w:rFonts w:ascii="宋体" w:eastAsia="宋体" w:hAnsi="宋体" w:hint="eastAsia"/>
          <w:b/>
          <w:bCs/>
          <w:sz w:val="24"/>
          <w:szCs w:val="24"/>
        </w:rPr>
        <w:t>方案</w:t>
      </w:r>
      <w:r w:rsidR="00EC1019" w:rsidRPr="007D16DB">
        <w:rPr>
          <w:rFonts w:ascii="宋体" w:eastAsia="宋体" w:hAnsi="宋体" w:hint="eastAsia"/>
          <w:b/>
          <w:bCs/>
          <w:sz w:val="24"/>
          <w:szCs w:val="24"/>
        </w:rPr>
        <w:t>概述</w:t>
      </w:r>
    </w:p>
    <w:p w14:paraId="30135B1F" w14:textId="4812DC3F" w:rsidR="004545B3" w:rsidRPr="00A761F7" w:rsidRDefault="004545B3" w:rsidP="004545B3">
      <w:pPr>
        <w:spacing w:beforeLines="50" w:before="156" w:afterLines="50" w:after="156" w:line="360" w:lineRule="auto"/>
        <w:ind w:firstLineChars="200" w:firstLine="482"/>
        <w:rPr>
          <w:rFonts w:ascii="Times New Roman" w:eastAsia="宋体" w:hAnsi="Times New Roman" w:cs="Times New Roman"/>
          <w:b/>
          <w:bCs/>
          <w:sz w:val="24"/>
          <w:szCs w:val="24"/>
        </w:rPr>
      </w:pPr>
      <w:bookmarkStart w:id="16" w:name="_Hlk71535437"/>
      <w:r w:rsidRPr="00A761F7">
        <w:rPr>
          <w:rFonts w:ascii="Times New Roman" w:eastAsia="宋体" w:hAnsi="Times New Roman" w:cs="Times New Roman"/>
          <w:b/>
          <w:bCs/>
          <w:sz w:val="24"/>
          <w:szCs w:val="24"/>
        </w:rPr>
        <w:t>1</w:t>
      </w:r>
      <w:r w:rsidRPr="00A761F7">
        <w:rPr>
          <w:rFonts w:ascii="Times New Roman" w:eastAsia="宋体" w:hAnsi="Times New Roman" w:cs="Times New Roman"/>
          <w:b/>
          <w:bCs/>
          <w:sz w:val="24"/>
          <w:szCs w:val="24"/>
        </w:rPr>
        <w:t>、增资标的：大唐</w:t>
      </w:r>
      <w:proofErr w:type="gramStart"/>
      <w:r w:rsidRPr="00A761F7">
        <w:rPr>
          <w:rFonts w:ascii="Times New Roman" w:eastAsia="宋体" w:hAnsi="Times New Roman" w:cs="Times New Roman"/>
          <w:b/>
          <w:bCs/>
          <w:sz w:val="24"/>
          <w:szCs w:val="24"/>
        </w:rPr>
        <w:t>恩智浦</w:t>
      </w:r>
      <w:proofErr w:type="gramEnd"/>
      <w:r w:rsidRPr="00A761F7">
        <w:rPr>
          <w:rFonts w:ascii="Times New Roman" w:eastAsia="宋体" w:hAnsi="Times New Roman" w:cs="Times New Roman"/>
          <w:b/>
          <w:bCs/>
          <w:sz w:val="24"/>
          <w:szCs w:val="24"/>
        </w:rPr>
        <w:t>。</w:t>
      </w:r>
    </w:p>
    <w:p w14:paraId="65E62D29" w14:textId="265FA365" w:rsidR="004545B3" w:rsidRPr="00A761F7" w:rsidRDefault="004545B3" w:rsidP="004545B3">
      <w:pPr>
        <w:spacing w:beforeLines="50" w:before="156" w:afterLines="50" w:after="156" w:line="360" w:lineRule="auto"/>
        <w:ind w:firstLineChars="200" w:firstLine="482"/>
        <w:rPr>
          <w:rFonts w:ascii="Times New Roman" w:eastAsia="宋体" w:hAnsi="Times New Roman" w:cs="Times New Roman"/>
          <w:b/>
          <w:bCs/>
          <w:sz w:val="24"/>
          <w:szCs w:val="24"/>
        </w:rPr>
      </w:pPr>
      <w:r w:rsidRPr="00A761F7">
        <w:rPr>
          <w:rFonts w:ascii="Times New Roman" w:eastAsia="宋体" w:hAnsi="Times New Roman" w:cs="Times New Roman"/>
          <w:b/>
          <w:bCs/>
          <w:sz w:val="24"/>
          <w:szCs w:val="24"/>
        </w:rPr>
        <w:t>2</w:t>
      </w:r>
      <w:r w:rsidRPr="00A761F7">
        <w:rPr>
          <w:rFonts w:ascii="Times New Roman" w:eastAsia="宋体" w:hAnsi="Times New Roman" w:cs="Times New Roman"/>
          <w:b/>
          <w:bCs/>
          <w:sz w:val="24"/>
          <w:szCs w:val="24"/>
        </w:rPr>
        <w:t>、交易对方：徐州汽车基金、</w:t>
      </w:r>
      <w:proofErr w:type="gramStart"/>
      <w:r w:rsidRPr="00A761F7">
        <w:rPr>
          <w:rFonts w:ascii="Times New Roman" w:eastAsia="宋体" w:hAnsi="Times New Roman" w:cs="Times New Roman"/>
          <w:b/>
          <w:bCs/>
          <w:sz w:val="24"/>
          <w:szCs w:val="24"/>
        </w:rPr>
        <w:t>恩智浦</w:t>
      </w:r>
      <w:proofErr w:type="gramEnd"/>
      <w:r w:rsidRPr="00A761F7">
        <w:rPr>
          <w:rFonts w:ascii="Times New Roman" w:eastAsia="宋体" w:hAnsi="Times New Roman" w:cs="Times New Roman"/>
          <w:b/>
          <w:bCs/>
          <w:sz w:val="24"/>
          <w:szCs w:val="24"/>
        </w:rPr>
        <w:t>。</w:t>
      </w:r>
    </w:p>
    <w:p w14:paraId="79217AB3" w14:textId="32042DEA"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lastRenderedPageBreak/>
        <w:t>3、</w:t>
      </w:r>
      <w:r w:rsidRPr="007D16DB">
        <w:rPr>
          <w:rFonts w:ascii="宋体" w:eastAsia="宋体" w:hAnsi="宋体" w:hint="eastAsia"/>
          <w:b/>
          <w:bCs/>
          <w:sz w:val="24"/>
          <w:szCs w:val="24"/>
        </w:rPr>
        <w:t>本次交易的方案</w:t>
      </w:r>
    </w:p>
    <w:p w14:paraId="146D2396"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公司下属企业大唐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通过在北交所以公开挂牌的方式引入徐州汽车基金，并由其对大唐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现金增资</w:t>
      </w:r>
      <w:r w:rsidRPr="002C0D21">
        <w:rPr>
          <w:rFonts w:ascii="Times New Roman" w:eastAsia="宋体" w:hAnsi="Times New Roman" w:cs="Times New Roman"/>
          <w:sz w:val="24"/>
          <w:szCs w:val="24"/>
        </w:rPr>
        <w:t>1,683</w:t>
      </w:r>
      <w:r w:rsidRPr="002C0D21">
        <w:rPr>
          <w:rFonts w:ascii="Times New Roman" w:eastAsia="宋体" w:hAnsi="Times New Roman" w:cs="Times New Roman"/>
          <w:sz w:val="24"/>
          <w:szCs w:val="24"/>
        </w:rPr>
        <w:t>万美元，占增资后大唐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27.41%</w:t>
      </w:r>
      <w:r w:rsidRPr="002C0D21">
        <w:rPr>
          <w:rFonts w:ascii="Times New Roman" w:eastAsia="宋体" w:hAnsi="Times New Roman" w:cs="Times New Roman"/>
          <w:sz w:val="24"/>
          <w:szCs w:val="24"/>
        </w:rPr>
        <w:t>股权；同时大唐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原股东</w:t>
      </w:r>
      <w:proofErr w:type="gramStart"/>
      <w:r w:rsidRPr="002C0D21">
        <w:rPr>
          <w:rFonts w:ascii="Times New Roman" w:eastAsia="宋体" w:hAnsi="Times New Roman" w:cs="Times New Roman"/>
          <w:sz w:val="24"/>
          <w:szCs w:val="24"/>
        </w:rPr>
        <w:t>恩智浦按</w:t>
      </w:r>
      <w:proofErr w:type="gramEnd"/>
      <w:r w:rsidRPr="002C0D21">
        <w:rPr>
          <w:rFonts w:ascii="Times New Roman" w:eastAsia="宋体" w:hAnsi="Times New Roman" w:cs="Times New Roman"/>
          <w:sz w:val="24"/>
          <w:szCs w:val="24"/>
        </w:rPr>
        <w:t>其持股比例对大唐</w:t>
      </w:r>
      <w:proofErr w:type="gramStart"/>
      <w:r w:rsidRPr="002C0D21">
        <w:rPr>
          <w:rFonts w:ascii="Times New Roman" w:eastAsia="宋体" w:hAnsi="Times New Roman" w:cs="Times New Roman"/>
          <w:sz w:val="24"/>
          <w:szCs w:val="24"/>
        </w:rPr>
        <w:t>恩智浦同</w:t>
      </w:r>
      <w:proofErr w:type="gramEnd"/>
      <w:r w:rsidRPr="002C0D21">
        <w:rPr>
          <w:rFonts w:ascii="Times New Roman" w:eastAsia="宋体" w:hAnsi="Times New Roman" w:cs="Times New Roman"/>
          <w:sz w:val="24"/>
          <w:szCs w:val="24"/>
        </w:rPr>
        <w:t>比例现金增资</w:t>
      </w:r>
      <w:r w:rsidRPr="002C0D21">
        <w:rPr>
          <w:rFonts w:ascii="Times New Roman" w:eastAsia="宋体" w:hAnsi="Times New Roman" w:cs="Times New Roman"/>
          <w:sz w:val="24"/>
          <w:szCs w:val="24"/>
        </w:rPr>
        <w:t>1,617</w:t>
      </w:r>
      <w:r w:rsidRPr="002C0D21">
        <w:rPr>
          <w:rFonts w:ascii="Times New Roman" w:eastAsia="宋体" w:hAnsi="Times New Roman" w:cs="Times New Roman"/>
          <w:sz w:val="24"/>
          <w:szCs w:val="24"/>
        </w:rPr>
        <w:t>万美元，占增资后大唐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26.33%</w:t>
      </w:r>
      <w:r w:rsidRPr="002C0D21">
        <w:rPr>
          <w:rFonts w:ascii="Times New Roman" w:eastAsia="宋体" w:hAnsi="Times New Roman" w:cs="Times New Roman"/>
          <w:sz w:val="24"/>
          <w:szCs w:val="24"/>
        </w:rPr>
        <w:t>股权，加上</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在增资前拥有的大唐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的股权，</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合计占增资后大唐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的</w:t>
      </w:r>
      <w:r w:rsidRPr="002C0D21">
        <w:rPr>
          <w:rFonts w:ascii="Times New Roman" w:eastAsia="宋体" w:hAnsi="Times New Roman" w:cs="Times New Roman"/>
          <w:sz w:val="24"/>
          <w:szCs w:val="24"/>
        </w:rPr>
        <w:t>49%</w:t>
      </w:r>
      <w:r w:rsidRPr="002C0D21">
        <w:rPr>
          <w:rFonts w:ascii="Times New Roman" w:eastAsia="宋体" w:hAnsi="Times New Roman" w:cs="Times New Roman"/>
          <w:sz w:val="24"/>
          <w:szCs w:val="24"/>
        </w:rPr>
        <w:t>股权。</w:t>
      </w:r>
    </w:p>
    <w:p w14:paraId="39FADD07"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本次增资扩股完成后，大唐</w:t>
      </w:r>
      <w:proofErr w:type="gramStart"/>
      <w:r w:rsidRPr="002C0D21">
        <w:rPr>
          <w:rFonts w:ascii="Times New Roman" w:eastAsia="宋体" w:hAnsi="Times New Roman" w:cs="Times New Roman"/>
          <w:sz w:val="24"/>
          <w:szCs w:val="24"/>
        </w:rPr>
        <w:t>恩智浦不再</w:t>
      </w:r>
      <w:proofErr w:type="gramEnd"/>
      <w:r w:rsidRPr="002C0D21">
        <w:rPr>
          <w:rFonts w:ascii="Times New Roman" w:eastAsia="宋体" w:hAnsi="Times New Roman" w:cs="Times New Roman"/>
          <w:sz w:val="24"/>
          <w:szCs w:val="24"/>
        </w:rPr>
        <w:t>纳入大唐电信合并报表范围。</w:t>
      </w:r>
    </w:p>
    <w:p w14:paraId="67FE1D79" w14:textId="27D92A7E"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4、</w:t>
      </w:r>
      <w:r w:rsidRPr="007D16DB">
        <w:rPr>
          <w:rFonts w:ascii="宋体" w:eastAsia="宋体" w:hAnsi="宋体" w:hint="eastAsia"/>
          <w:b/>
          <w:bCs/>
          <w:sz w:val="24"/>
          <w:szCs w:val="24"/>
        </w:rPr>
        <w:t>本次交易标的资产的估值及定价</w:t>
      </w:r>
    </w:p>
    <w:p w14:paraId="1ABD932F"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据上海东洲资产评估有限公司出具的《大唐恩智浦半导体有限公司拟非同比例增资所涉及的股东全部权益价值资产评估报告》（东洲评报字</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第</w:t>
      </w:r>
      <w:r w:rsidRPr="002C0D21">
        <w:rPr>
          <w:rFonts w:ascii="Times New Roman" w:eastAsia="宋体" w:hAnsi="Times New Roman" w:cs="Times New Roman"/>
          <w:sz w:val="24"/>
          <w:szCs w:val="24"/>
        </w:rPr>
        <w:t>0667</w:t>
      </w:r>
      <w:r w:rsidRPr="002C0D21">
        <w:rPr>
          <w:rFonts w:ascii="Times New Roman" w:eastAsia="宋体" w:hAnsi="Times New Roman" w:cs="Times New Roman"/>
          <w:sz w:val="24"/>
          <w:szCs w:val="24"/>
        </w:rPr>
        <w:t>号），以</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4</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30</w:t>
      </w:r>
      <w:r w:rsidRPr="002C0D21">
        <w:rPr>
          <w:rFonts w:ascii="Times New Roman" w:eastAsia="宋体" w:hAnsi="Times New Roman" w:cs="Times New Roman"/>
          <w:sz w:val="24"/>
          <w:szCs w:val="24"/>
        </w:rPr>
        <w:t>日为评估基准日，大唐</w:t>
      </w:r>
      <w:proofErr w:type="gramStart"/>
      <w:r w:rsidRPr="002C0D21">
        <w:rPr>
          <w:rFonts w:ascii="Times New Roman" w:eastAsia="宋体" w:hAnsi="Times New Roman" w:cs="Times New Roman"/>
          <w:sz w:val="24"/>
          <w:szCs w:val="24"/>
        </w:rPr>
        <w:t>恩智浦股东</w:t>
      </w:r>
      <w:proofErr w:type="gramEnd"/>
      <w:r w:rsidRPr="002C0D21">
        <w:rPr>
          <w:rFonts w:ascii="Times New Roman" w:eastAsia="宋体" w:hAnsi="Times New Roman" w:cs="Times New Roman"/>
          <w:sz w:val="24"/>
          <w:szCs w:val="24"/>
        </w:rPr>
        <w:t>全部权益评估值为</w:t>
      </w:r>
      <w:r w:rsidRPr="002C0D21">
        <w:rPr>
          <w:rFonts w:ascii="Times New Roman" w:eastAsia="宋体" w:hAnsi="Times New Roman" w:cs="Times New Roman"/>
          <w:sz w:val="24"/>
          <w:szCs w:val="24"/>
        </w:rPr>
        <w:t>20,046.34</w:t>
      </w:r>
      <w:r w:rsidRPr="002C0D21">
        <w:rPr>
          <w:rFonts w:ascii="Times New Roman" w:eastAsia="宋体" w:hAnsi="Times New Roman" w:cs="Times New Roman"/>
          <w:sz w:val="24"/>
          <w:szCs w:val="24"/>
        </w:rPr>
        <w:t>万元（等值于</w:t>
      </w:r>
      <w:r w:rsidRPr="002C0D21">
        <w:rPr>
          <w:rFonts w:ascii="Times New Roman" w:eastAsia="宋体" w:hAnsi="Times New Roman" w:cs="Times New Roman"/>
          <w:sz w:val="24"/>
          <w:szCs w:val="24"/>
        </w:rPr>
        <w:t>2,840.5</w:t>
      </w:r>
      <w:r w:rsidRPr="002C0D21">
        <w:rPr>
          <w:rFonts w:ascii="Times New Roman" w:eastAsia="宋体" w:hAnsi="Times New Roman" w:cs="Times New Roman"/>
          <w:sz w:val="24"/>
          <w:szCs w:val="24"/>
        </w:rPr>
        <w:t>万美元）。上述评估结果已经中国信息通信科技集团有限公司备案。</w:t>
      </w:r>
    </w:p>
    <w:p w14:paraId="75C43EF3"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本次增资总金额为</w:t>
      </w:r>
      <w:r w:rsidRPr="002C0D21">
        <w:rPr>
          <w:rFonts w:ascii="Times New Roman" w:eastAsia="宋体" w:hAnsi="Times New Roman" w:cs="Times New Roman"/>
          <w:sz w:val="24"/>
          <w:szCs w:val="24"/>
        </w:rPr>
        <w:t>3,300</w:t>
      </w:r>
      <w:r w:rsidRPr="002C0D21">
        <w:rPr>
          <w:rFonts w:ascii="Times New Roman" w:eastAsia="宋体" w:hAnsi="Times New Roman" w:cs="Times New Roman"/>
          <w:sz w:val="24"/>
          <w:szCs w:val="24"/>
        </w:rPr>
        <w:t>万美元，包括</w:t>
      </w:r>
      <w:r w:rsidRPr="002C0D21">
        <w:rPr>
          <w:rFonts w:ascii="Times New Roman" w:eastAsia="宋体" w:hAnsi="Times New Roman" w:cs="Times New Roman"/>
          <w:sz w:val="24"/>
          <w:szCs w:val="24"/>
        </w:rPr>
        <w:t>23,235,345</w:t>
      </w:r>
      <w:r w:rsidRPr="002C0D21">
        <w:rPr>
          <w:rFonts w:ascii="Times New Roman" w:eastAsia="宋体" w:hAnsi="Times New Roman" w:cs="Times New Roman"/>
          <w:sz w:val="24"/>
          <w:szCs w:val="24"/>
        </w:rPr>
        <w:t>美元的注册资本以及应计入资本公积账户的</w:t>
      </w:r>
      <w:r w:rsidRPr="002C0D21">
        <w:rPr>
          <w:rFonts w:ascii="Times New Roman" w:eastAsia="宋体" w:hAnsi="Times New Roman" w:cs="Times New Roman"/>
          <w:sz w:val="24"/>
          <w:szCs w:val="24"/>
        </w:rPr>
        <w:t>9,764,655</w:t>
      </w:r>
      <w:r w:rsidRPr="002C0D21">
        <w:rPr>
          <w:rFonts w:ascii="Times New Roman" w:eastAsia="宋体" w:hAnsi="Times New Roman" w:cs="Times New Roman"/>
          <w:sz w:val="24"/>
          <w:szCs w:val="24"/>
        </w:rPr>
        <w:t>美元的资本公积。其中徐州汽车基金通过在北交所以公开摘牌方式对大唐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现金增资</w:t>
      </w:r>
      <w:r w:rsidRPr="002C0D21">
        <w:rPr>
          <w:rFonts w:ascii="Times New Roman" w:eastAsia="宋体" w:hAnsi="Times New Roman" w:cs="Times New Roman"/>
          <w:sz w:val="24"/>
          <w:szCs w:val="24"/>
        </w:rPr>
        <w:t>1,683</w:t>
      </w:r>
      <w:r w:rsidRPr="002C0D21">
        <w:rPr>
          <w:rFonts w:ascii="Times New Roman" w:eastAsia="宋体" w:hAnsi="Times New Roman" w:cs="Times New Roman"/>
          <w:sz w:val="24"/>
          <w:szCs w:val="24"/>
        </w:rPr>
        <w:t>万美元，占增资后大唐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27.41%</w:t>
      </w:r>
      <w:r w:rsidRPr="002C0D21">
        <w:rPr>
          <w:rFonts w:ascii="Times New Roman" w:eastAsia="宋体" w:hAnsi="Times New Roman" w:cs="Times New Roman"/>
          <w:sz w:val="24"/>
          <w:szCs w:val="24"/>
        </w:rPr>
        <w:t>股权；</w:t>
      </w:r>
      <w:proofErr w:type="gramStart"/>
      <w:r w:rsidRPr="002C0D21">
        <w:rPr>
          <w:rFonts w:ascii="Times New Roman" w:eastAsia="宋体" w:hAnsi="Times New Roman" w:cs="Times New Roman"/>
          <w:sz w:val="24"/>
          <w:szCs w:val="24"/>
        </w:rPr>
        <w:t>恩智浦以</w:t>
      </w:r>
      <w:proofErr w:type="gramEnd"/>
      <w:r w:rsidRPr="002C0D21">
        <w:rPr>
          <w:rFonts w:ascii="Times New Roman" w:eastAsia="宋体" w:hAnsi="Times New Roman" w:cs="Times New Roman"/>
          <w:sz w:val="24"/>
          <w:szCs w:val="24"/>
        </w:rPr>
        <w:t>非公开协议方式对大唐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现金增资</w:t>
      </w:r>
      <w:r w:rsidRPr="002C0D21">
        <w:rPr>
          <w:rFonts w:ascii="Times New Roman" w:eastAsia="宋体" w:hAnsi="Times New Roman" w:cs="Times New Roman"/>
          <w:sz w:val="24"/>
          <w:szCs w:val="24"/>
        </w:rPr>
        <w:t>1,617</w:t>
      </w:r>
      <w:r w:rsidRPr="002C0D21">
        <w:rPr>
          <w:rFonts w:ascii="Times New Roman" w:eastAsia="宋体" w:hAnsi="Times New Roman" w:cs="Times New Roman"/>
          <w:sz w:val="24"/>
          <w:szCs w:val="24"/>
        </w:rPr>
        <w:t>万美元，占增资后大唐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26.33%</w:t>
      </w:r>
      <w:r w:rsidRPr="002C0D21">
        <w:rPr>
          <w:rFonts w:ascii="Times New Roman" w:eastAsia="宋体" w:hAnsi="Times New Roman" w:cs="Times New Roman"/>
          <w:sz w:val="24"/>
          <w:szCs w:val="24"/>
        </w:rPr>
        <w:t>股权，加上</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在增资前拥有的大唐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股权，</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合计占增资后大唐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49%</w:t>
      </w:r>
      <w:r w:rsidRPr="002C0D21">
        <w:rPr>
          <w:rFonts w:ascii="Times New Roman" w:eastAsia="宋体" w:hAnsi="Times New Roman" w:cs="Times New Roman"/>
          <w:sz w:val="24"/>
          <w:szCs w:val="24"/>
        </w:rPr>
        <w:t>股权。</w:t>
      </w:r>
    </w:p>
    <w:p w14:paraId="04AFD80F" w14:textId="01998129"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5、</w:t>
      </w:r>
      <w:r w:rsidRPr="007D16DB">
        <w:rPr>
          <w:rFonts w:ascii="宋体" w:eastAsia="宋体" w:hAnsi="宋体" w:hint="eastAsia"/>
          <w:b/>
          <w:bCs/>
          <w:sz w:val="24"/>
          <w:szCs w:val="24"/>
        </w:rPr>
        <w:t>本次交易支付方式</w:t>
      </w:r>
    </w:p>
    <w:p w14:paraId="69005A97"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根据大唐</w:t>
      </w:r>
      <w:proofErr w:type="gramStart"/>
      <w:r w:rsidRPr="002C0D21">
        <w:rPr>
          <w:rFonts w:ascii="Times New Roman" w:eastAsia="宋体" w:hAnsi="Times New Roman" w:cs="Times New Roman"/>
          <w:sz w:val="24"/>
          <w:szCs w:val="24"/>
        </w:rPr>
        <w:t>恩智浦与恩智浦</w:t>
      </w:r>
      <w:proofErr w:type="gramEnd"/>
      <w:r w:rsidRPr="002C0D21">
        <w:rPr>
          <w:rFonts w:ascii="Times New Roman" w:eastAsia="宋体" w:hAnsi="Times New Roman" w:cs="Times New Roman"/>
          <w:sz w:val="24"/>
          <w:szCs w:val="24"/>
        </w:rPr>
        <w:t>、大唐半导体、徐州汽车基金签署的《大唐恩智浦半导体有限公司与恩智浦有限公司与大唐半导体设计有限公司与徐州汽车半导体产业基金合伙企业（有限合伙）之间的增资协议》（以下简称</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大唐恩智浦增资协议</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），徐州汽车基金截止至大唐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增资协议签署之日已支付至北交所的保证金为</w:t>
      </w:r>
      <w:r w:rsidRPr="002C0D21">
        <w:rPr>
          <w:rFonts w:ascii="Times New Roman" w:eastAsia="宋体" w:hAnsi="Times New Roman" w:cs="Times New Roman"/>
          <w:sz w:val="24"/>
          <w:szCs w:val="24"/>
        </w:rPr>
        <w:t>35,002,192.50</w:t>
      </w:r>
      <w:r w:rsidRPr="002C0D21">
        <w:rPr>
          <w:rFonts w:ascii="Times New Roman" w:eastAsia="宋体" w:hAnsi="Times New Roman" w:cs="Times New Roman"/>
          <w:sz w:val="24"/>
          <w:szCs w:val="24"/>
        </w:rPr>
        <w:t>元。</w:t>
      </w:r>
    </w:p>
    <w:p w14:paraId="4DA033F6"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在交割条件得到满足或放弃的前提下，对于增资出资额的缴付（</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出资</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）应由认购方根据下述安排在交割（每一次</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交割</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）时分次完成：</w:t>
      </w:r>
    </w:p>
    <w:p w14:paraId="15F64DCB"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lastRenderedPageBreak/>
        <w:t>(a)</w:t>
      </w:r>
      <w:r w:rsidRPr="002C0D21">
        <w:rPr>
          <w:rFonts w:ascii="Times New Roman" w:eastAsia="宋体" w:hAnsi="Times New Roman" w:cs="Times New Roman"/>
          <w:sz w:val="24"/>
          <w:szCs w:val="24"/>
        </w:rPr>
        <w:tab/>
      </w:r>
      <w:r w:rsidRPr="002C0D21">
        <w:rPr>
          <w:rFonts w:ascii="Times New Roman" w:eastAsia="宋体" w:hAnsi="Times New Roman" w:cs="Times New Roman"/>
          <w:sz w:val="24"/>
          <w:szCs w:val="24"/>
        </w:rPr>
        <w:t>在首次交割时，总计</w:t>
      </w:r>
      <w:r w:rsidRPr="002C0D21">
        <w:rPr>
          <w:rFonts w:ascii="Times New Roman" w:eastAsia="宋体" w:hAnsi="Times New Roman" w:cs="Times New Roman"/>
          <w:sz w:val="24"/>
          <w:szCs w:val="24"/>
        </w:rPr>
        <w:t>13,000,000</w:t>
      </w:r>
      <w:r w:rsidRPr="002C0D21">
        <w:rPr>
          <w:rFonts w:ascii="Times New Roman" w:eastAsia="宋体" w:hAnsi="Times New Roman" w:cs="Times New Roman"/>
          <w:sz w:val="24"/>
          <w:szCs w:val="24"/>
        </w:rPr>
        <w:t>美元；</w:t>
      </w:r>
    </w:p>
    <w:p w14:paraId="25132E07"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(b)</w:t>
      </w:r>
      <w:r w:rsidRPr="002C0D21">
        <w:rPr>
          <w:rFonts w:ascii="Times New Roman" w:eastAsia="宋体" w:hAnsi="Times New Roman" w:cs="Times New Roman"/>
          <w:sz w:val="24"/>
          <w:szCs w:val="24"/>
        </w:rPr>
        <w:tab/>
      </w:r>
      <w:r w:rsidRPr="002C0D21">
        <w:rPr>
          <w:rFonts w:ascii="Times New Roman" w:eastAsia="宋体" w:hAnsi="Times New Roman" w:cs="Times New Roman"/>
          <w:sz w:val="24"/>
          <w:szCs w:val="24"/>
        </w:rPr>
        <w:t>在第二次交割时，总计</w:t>
      </w:r>
      <w:r w:rsidRPr="002C0D21">
        <w:rPr>
          <w:rFonts w:ascii="Times New Roman" w:eastAsia="宋体" w:hAnsi="Times New Roman" w:cs="Times New Roman"/>
          <w:sz w:val="24"/>
          <w:szCs w:val="24"/>
        </w:rPr>
        <w:t>11,000,000</w:t>
      </w:r>
      <w:r w:rsidRPr="002C0D21">
        <w:rPr>
          <w:rFonts w:ascii="Times New Roman" w:eastAsia="宋体" w:hAnsi="Times New Roman" w:cs="Times New Roman"/>
          <w:sz w:val="24"/>
          <w:szCs w:val="24"/>
        </w:rPr>
        <w:t>美元；以及</w:t>
      </w:r>
    </w:p>
    <w:p w14:paraId="257471E8" w14:textId="181ED49D" w:rsidR="00A761F7" w:rsidRPr="00A761F7"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(c)</w:t>
      </w:r>
      <w:r w:rsidRPr="002C0D21">
        <w:rPr>
          <w:rFonts w:ascii="Times New Roman" w:eastAsia="宋体" w:hAnsi="Times New Roman" w:cs="Times New Roman"/>
          <w:sz w:val="24"/>
          <w:szCs w:val="24"/>
        </w:rPr>
        <w:tab/>
      </w:r>
      <w:r w:rsidRPr="002C0D21">
        <w:rPr>
          <w:rFonts w:ascii="Times New Roman" w:eastAsia="宋体" w:hAnsi="Times New Roman" w:cs="Times New Roman"/>
          <w:sz w:val="24"/>
          <w:szCs w:val="24"/>
        </w:rPr>
        <w:t>在第三次交割时，总计</w:t>
      </w:r>
      <w:r w:rsidRPr="002C0D21">
        <w:rPr>
          <w:rFonts w:ascii="Times New Roman" w:eastAsia="宋体" w:hAnsi="Times New Roman" w:cs="Times New Roman"/>
          <w:sz w:val="24"/>
          <w:szCs w:val="24"/>
        </w:rPr>
        <w:t>9,000,000</w:t>
      </w:r>
      <w:r w:rsidRPr="002C0D21">
        <w:rPr>
          <w:rFonts w:ascii="Times New Roman" w:eastAsia="宋体" w:hAnsi="Times New Roman" w:cs="Times New Roman"/>
          <w:sz w:val="24"/>
          <w:szCs w:val="24"/>
        </w:rPr>
        <w:t>美元。</w:t>
      </w:r>
    </w:p>
    <w:bookmarkEnd w:id="16"/>
    <w:p w14:paraId="46637598" w14:textId="64B7A628" w:rsidR="00EC1019"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三</w:t>
      </w:r>
      <w:r w:rsidRPr="002C0D21">
        <w:rPr>
          <w:rFonts w:ascii="宋体" w:eastAsia="宋体" w:hAnsi="宋体"/>
          <w:b/>
          <w:bCs/>
          <w:sz w:val="24"/>
          <w:szCs w:val="24"/>
        </w:rPr>
        <w:t>）</w:t>
      </w:r>
      <w:r w:rsidRPr="002C0D21">
        <w:rPr>
          <w:rFonts w:ascii="宋体" w:eastAsia="宋体" w:hAnsi="宋体"/>
          <w:b/>
          <w:bCs/>
          <w:sz w:val="24"/>
          <w:szCs w:val="24"/>
        </w:rPr>
        <w:tab/>
      </w:r>
      <w:r w:rsidR="00EC1019" w:rsidRPr="007D16DB">
        <w:rPr>
          <w:rFonts w:ascii="宋体" w:eastAsia="宋体" w:hAnsi="宋体" w:hint="eastAsia"/>
          <w:b/>
          <w:bCs/>
          <w:sz w:val="24"/>
          <w:szCs w:val="24"/>
        </w:rPr>
        <w:t>江苏安</w:t>
      </w:r>
      <w:proofErr w:type="gramStart"/>
      <w:r w:rsidR="00EC1019" w:rsidRPr="007D16DB">
        <w:rPr>
          <w:rFonts w:ascii="宋体" w:eastAsia="宋体" w:hAnsi="宋体" w:hint="eastAsia"/>
          <w:b/>
          <w:bCs/>
          <w:sz w:val="24"/>
          <w:szCs w:val="24"/>
        </w:rPr>
        <w:t>防交易</w:t>
      </w:r>
      <w:proofErr w:type="gramEnd"/>
      <w:r w:rsidR="00EC1019" w:rsidRPr="007D16DB">
        <w:rPr>
          <w:rFonts w:ascii="宋体" w:eastAsia="宋体" w:hAnsi="宋体" w:hint="eastAsia"/>
          <w:b/>
          <w:bCs/>
          <w:sz w:val="24"/>
          <w:szCs w:val="24"/>
        </w:rPr>
        <w:t>方案概述</w:t>
      </w:r>
    </w:p>
    <w:p w14:paraId="7EEC0C5E" w14:textId="05AF89B3" w:rsidR="004545B3" w:rsidRPr="00A761F7" w:rsidRDefault="004545B3" w:rsidP="004545B3">
      <w:pPr>
        <w:spacing w:beforeLines="50" w:before="156" w:afterLines="50" w:after="156" w:line="360" w:lineRule="auto"/>
        <w:ind w:firstLine="482"/>
        <w:rPr>
          <w:rFonts w:ascii="宋体" w:eastAsia="宋体" w:hAnsi="宋体"/>
          <w:b/>
          <w:bCs/>
          <w:sz w:val="24"/>
          <w:szCs w:val="24"/>
        </w:rPr>
      </w:pPr>
      <w:r w:rsidRPr="00A761F7">
        <w:rPr>
          <w:rFonts w:ascii="宋体" w:eastAsia="宋体" w:hAnsi="宋体"/>
          <w:b/>
          <w:bCs/>
          <w:sz w:val="24"/>
          <w:szCs w:val="24"/>
        </w:rPr>
        <w:t>1、增资标的：江苏安防。</w:t>
      </w:r>
    </w:p>
    <w:p w14:paraId="0E8610C9" w14:textId="78FCC0D5" w:rsidR="004545B3" w:rsidRPr="00A761F7" w:rsidRDefault="004545B3" w:rsidP="004545B3">
      <w:pPr>
        <w:spacing w:beforeLines="50" w:before="156" w:afterLines="50" w:after="156" w:line="360" w:lineRule="auto"/>
        <w:ind w:firstLine="482"/>
        <w:rPr>
          <w:rFonts w:ascii="宋体" w:eastAsia="宋体" w:hAnsi="宋体"/>
          <w:b/>
          <w:bCs/>
          <w:sz w:val="24"/>
          <w:szCs w:val="24"/>
        </w:rPr>
      </w:pPr>
      <w:r w:rsidRPr="00A761F7">
        <w:rPr>
          <w:rFonts w:ascii="宋体" w:eastAsia="宋体" w:hAnsi="宋体"/>
          <w:b/>
          <w:bCs/>
          <w:sz w:val="24"/>
          <w:szCs w:val="24"/>
        </w:rPr>
        <w:t>2、交易对方：</w:t>
      </w:r>
      <w:proofErr w:type="gramStart"/>
      <w:r w:rsidRPr="00A761F7">
        <w:rPr>
          <w:rFonts w:ascii="宋体" w:eastAsia="宋体" w:hAnsi="宋体"/>
          <w:b/>
          <w:bCs/>
          <w:sz w:val="24"/>
          <w:szCs w:val="24"/>
        </w:rPr>
        <w:t>徐州智安基金</w:t>
      </w:r>
      <w:proofErr w:type="gramEnd"/>
      <w:r w:rsidRPr="00A761F7">
        <w:rPr>
          <w:rFonts w:ascii="宋体" w:eastAsia="宋体" w:hAnsi="宋体"/>
          <w:b/>
          <w:bCs/>
          <w:sz w:val="24"/>
          <w:szCs w:val="24"/>
        </w:rPr>
        <w:t>。</w:t>
      </w:r>
    </w:p>
    <w:p w14:paraId="21208245" w14:textId="582ADD99"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3、</w:t>
      </w:r>
      <w:r w:rsidRPr="007D16DB">
        <w:rPr>
          <w:rFonts w:ascii="宋体" w:eastAsia="宋体" w:hAnsi="宋体" w:hint="eastAsia"/>
          <w:b/>
          <w:bCs/>
          <w:sz w:val="24"/>
          <w:szCs w:val="24"/>
        </w:rPr>
        <w:t>本次交易的方案</w:t>
      </w:r>
    </w:p>
    <w:p w14:paraId="77325FD0"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江苏安</w:t>
      </w:r>
      <w:proofErr w:type="gramStart"/>
      <w:r w:rsidRPr="002C0D21">
        <w:rPr>
          <w:rFonts w:ascii="Times New Roman" w:eastAsia="宋体" w:hAnsi="Times New Roman" w:cs="Times New Roman"/>
          <w:sz w:val="24"/>
          <w:szCs w:val="24"/>
        </w:rPr>
        <w:t>防通过</w:t>
      </w:r>
      <w:proofErr w:type="gramEnd"/>
      <w:r w:rsidRPr="002C0D21">
        <w:rPr>
          <w:rFonts w:ascii="Times New Roman" w:eastAsia="宋体" w:hAnsi="Times New Roman" w:cs="Times New Roman"/>
          <w:sz w:val="24"/>
          <w:szCs w:val="24"/>
        </w:rPr>
        <w:t>在北交所以公开挂牌的方式引入</w:t>
      </w:r>
      <w:proofErr w:type="gramStart"/>
      <w:r w:rsidRPr="002C0D21">
        <w:rPr>
          <w:rFonts w:ascii="Times New Roman" w:eastAsia="宋体" w:hAnsi="Times New Roman" w:cs="Times New Roman"/>
          <w:sz w:val="24"/>
          <w:szCs w:val="24"/>
        </w:rPr>
        <w:t>徐州智安基金</w:t>
      </w:r>
      <w:proofErr w:type="gramEnd"/>
      <w:r w:rsidRPr="002C0D21">
        <w:rPr>
          <w:rFonts w:ascii="Times New Roman" w:eastAsia="宋体" w:hAnsi="Times New Roman" w:cs="Times New Roman"/>
          <w:sz w:val="24"/>
          <w:szCs w:val="24"/>
        </w:rPr>
        <w:t>，并由其对江苏安防现金增资</w:t>
      </w:r>
      <w:r w:rsidRPr="002C0D21">
        <w:rPr>
          <w:rFonts w:ascii="Times New Roman" w:eastAsia="宋体" w:hAnsi="Times New Roman" w:cs="Times New Roman"/>
          <w:sz w:val="24"/>
          <w:szCs w:val="24"/>
        </w:rPr>
        <w:t>13,500</w:t>
      </w:r>
      <w:r w:rsidRPr="002C0D21">
        <w:rPr>
          <w:rFonts w:ascii="Times New Roman" w:eastAsia="宋体" w:hAnsi="Times New Roman" w:cs="Times New Roman"/>
          <w:sz w:val="24"/>
          <w:szCs w:val="24"/>
        </w:rPr>
        <w:t>万元人民币，占增资后江苏安防</w:t>
      </w:r>
      <w:r w:rsidRPr="002C0D21">
        <w:rPr>
          <w:rFonts w:ascii="Times New Roman" w:eastAsia="宋体" w:hAnsi="Times New Roman" w:cs="Times New Roman"/>
          <w:sz w:val="24"/>
          <w:szCs w:val="24"/>
        </w:rPr>
        <w:t>24.83%</w:t>
      </w:r>
      <w:r w:rsidRPr="002C0D21">
        <w:rPr>
          <w:rFonts w:ascii="Times New Roman" w:eastAsia="宋体" w:hAnsi="Times New Roman" w:cs="Times New Roman"/>
          <w:sz w:val="24"/>
          <w:szCs w:val="24"/>
        </w:rPr>
        <w:t>的股权。</w:t>
      </w:r>
    </w:p>
    <w:p w14:paraId="6292AB17"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本次增资扩股完成后，江苏安</w:t>
      </w:r>
      <w:proofErr w:type="gramStart"/>
      <w:r w:rsidRPr="002C0D21">
        <w:rPr>
          <w:rFonts w:ascii="Times New Roman" w:eastAsia="宋体" w:hAnsi="Times New Roman" w:cs="Times New Roman"/>
          <w:sz w:val="24"/>
          <w:szCs w:val="24"/>
        </w:rPr>
        <w:t>防不再</w:t>
      </w:r>
      <w:proofErr w:type="gramEnd"/>
      <w:r w:rsidRPr="002C0D21">
        <w:rPr>
          <w:rFonts w:ascii="Times New Roman" w:eastAsia="宋体" w:hAnsi="Times New Roman" w:cs="Times New Roman"/>
          <w:sz w:val="24"/>
          <w:szCs w:val="24"/>
        </w:rPr>
        <w:t>纳入大唐电信合并报表范围。</w:t>
      </w:r>
    </w:p>
    <w:p w14:paraId="2FBA8D5D" w14:textId="25039672"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4、</w:t>
      </w:r>
      <w:r w:rsidRPr="007D16DB">
        <w:rPr>
          <w:rFonts w:ascii="宋体" w:eastAsia="宋体" w:hAnsi="宋体" w:hint="eastAsia"/>
          <w:b/>
          <w:bCs/>
          <w:sz w:val="24"/>
          <w:szCs w:val="24"/>
        </w:rPr>
        <w:t>本次交易标的资产的估值及定价</w:t>
      </w:r>
    </w:p>
    <w:p w14:paraId="22CDF3DE"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根据中资资产评估有限公司出具的《江苏安防科技有限公司拟增资扩股涉及的江苏安防科技有限公司股东全部权益价值评估项目资产评估报告》（中资评报字（</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154</w:t>
      </w:r>
      <w:r w:rsidRPr="002C0D21">
        <w:rPr>
          <w:rFonts w:ascii="Times New Roman" w:eastAsia="宋体" w:hAnsi="Times New Roman" w:cs="Times New Roman"/>
          <w:sz w:val="24"/>
          <w:szCs w:val="24"/>
        </w:rPr>
        <w:t>号），以</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4</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30</w:t>
      </w:r>
      <w:r w:rsidRPr="002C0D21">
        <w:rPr>
          <w:rFonts w:ascii="Times New Roman" w:eastAsia="宋体" w:hAnsi="Times New Roman" w:cs="Times New Roman"/>
          <w:sz w:val="24"/>
          <w:szCs w:val="24"/>
        </w:rPr>
        <w:t>日为评估基准日，江苏安</w:t>
      </w:r>
      <w:proofErr w:type="gramStart"/>
      <w:r w:rsidRPr="002C0D21">
        <w:rPr>
          <w:rFonts w:ascii="Times New Roman" w:eastAsia="宋体" w:hAnsi="Times New Roman" w:cs="Times New Roman"/>
          <w:sz w:val="24"/>
          <w:szCs w:val="24"/>
        </w:rPr>
        <w:t>防股东</w:t>
      </w:r>
      <w:proofErr w:type="gramEnd"/>
      <w:r w:rsidRPr="002C0D21">
        <w:rPr>
          <w:rFonts w:ascii="Times New Roman" w:eastAsia="宋体" w:hAnsi="Times New Roman" w:cs="Times New Roman"/>
          <w:sz w:val="24"/>
          <w:szCs w:val="24"/>
        </w:rPr>
        <w:t>全部权益评估值为</w:t>
      </w:r>
      <w:r w:rsidRPr="002C0D21">
        <w:rPr>
          <w:rFonts w:ascii="Times New Roman" w:eastAsia="宋体" w:hAnsi="Times New Roman" w:cs="Times New Roman"/>
          <w:sz w:val="24"/>
          <w:szCs w:val="24"/>
        </w:rPr>
        <w:t>40,866.46</w:t>
      </w:r>
      <w:r w:rsidRPr="002C0D21">
        <w:rPr>
          <w:rFonts w:ascii="Times New Roman" w:eastAsia="宋体" w:hAnsi="Times New Roman" w:cs="Times New Roman"/>
          <w:sz w:val="24"/>
          <w:szCs w:val="24"/>
        </w:rPr>
        <w:t>万元人民币。上述评估结果已经中国信科备案。</w:t>
      </w:r>
    </w:p>
    <w:p w14:paraId="52113F46"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本次交易中，徐州</w:t>
      </w:r>
      <w:proofErr w:type="gramStart"/>
      <w:r w:rsidRPr="002C0D21">
        <w:rPr>
          <w:rFonts w:ascii="Times New Roman" w:eastAsia="宋体" w:hAnsi="Times New Roman" w:cs="Times New Roman"/>
          <w:sz w:val="24"/>
          <w:szCs w:val="24"/>
        </w:rPr>
        <w:t>智安基金</w:t>
      </w:r>
      <w:proofErr w:type="gramEnd"/>
      <w:r w:rsidRPr="002C0D21">
        <w:rPr>
          <w:rFonts w:ascii="Times New Roman" w:eastAsia="宋体" w:hAnsi="Times New Roman" w:cs="Times New Roman"/>
          <w:sz w:val="24"/>
          <w:szCs w:val="24"/>
        </w:rPr>
        <w:t>认购江苏</w:t>
      </w:r>
      <w:proofErr w:type="gramStart"/>
      <w:r w:rsidRPr="002C0D21">
        <w:rPr>
          <w:rFonts w:ascii="Times New Roman" w:eastAsia="宋体" w:hAnsi="Times New Roman" w:cs="Times New Roman"/>
          <w:sz w:val="24"/>
          <w:szCs w:val="24"/>
        </w:rPr>
        <w:t>安防每</w:t>
      </w:r>
      <w:r w:rsidRPr="002C0D21">
        <w:rPr>
          <w:rFonts w:ascii="Times New Roman" w:eastAsia="宋体" w:hAnsi="Times New Roman" w:cs="Times New Roman"/>
          <w:sz w:val="24"/>
          <w:szCs w:val="24"/>
        </w:rPr>
        <w:t>1</w:t>
      </w:r>
      <w:r w:rsidRPr="002C0D21">
        <w:rPr>
          <w:rFonts w:ascii="Times New Roman" w:eastAsia="宋体" w:hAnsi="Times New Roman" w:cs="Times New Roman"/>
          <w:sz w:val="24"/>
          <w:szCs w:val="24"/>
        </w:rPr>
        <w:t>元</w:t>
      </w:r>
      <w:proofErr w:type="gramEnd"/>
      <w:r w:rsidRPr="002C0D21">
        <w:rPr>
          <w:rFonts w:ascii="Times New Roman" w:eastAsia="宋体" w:hAnsi="Times New Roman" w:cs="Times New Roman"/>
          <w:sz w:val="24"/>
          <w:szCs w:val="24"/>
        </w:rPr>
        <w:t>新增注册资本的增资价格为</w:t>
      </w:r>
      <w:r w:rsidRPr="002C0D21">
        <w:rPr>
          <w:rFonts w:ascii="Times New Roman" w:eastAsia="宋体" w:hAnsi="Times New Roman" w:cs="Times New Roman"/>
          <w:sz w:val="24"/>
          <w:szCs w:val="24"/>
        </w:rPr>
        <w:t>4.09</w:t>
      </w:r>
      <w:r w:rsidRPr="002C0D21">
        <w:rPr>
          <w:rFonts w:ascii="Times New Roman" w:eastAsia="宋体" w:hAnsi="Times New Roman" w:cs="Times New Roman"/>
          <w:sz w:val="24"/>
          <w:szCs w:val="24"/>
        </w:rPr>
        <w:t>元，总增资价款为</w:t>
      </w:r>
      <w:r w:rsidRPr="002C0D21">
        <w:rPr>
          <w:rFonts w:ascii="Times New Roman" w:eastAsia="宋体" w:hAnsi="Times New Roman" w:cs="Times New Roman"/>
          <w:sz w:val="24"/>
          <w:szCs w:val="24"/>
        </w:rPr>
        <w:t>13,500</w:t>
      </w:r>
      <w:r w:rsidRPr="002C0D21">
        <w:rPr>
          <w:rFonts w:ascii="Times New Roman" w:eastAsia="宋体" w:hAnsi="Times New Roman" w:cs="Times New Roman"/>
          <w:sz w:val="24"/>
          <w:szCs w:val="24"/>
        </w:rPr>
        <w:t>万元。</w:t>
      </w:r>
    </w:p>
    <w:p w14:paraId="7AB54009" w14:textId="0F13D096"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5、</w:t>
      </w:r>
      <w:r w:rsidRPr="007D16DB">
        <w:rPr>
          <w:rFonts w:ascii="宋体" w:eastAsia="宋体" w:hAnsi="宋体" w:hint="eastAsia"/>
          <w:b/>
          <w:bCs/>
          <w:sz w:val="24"/>
          <w:szCs w:val="24"/>
        </w:rPr>
        <w:t>本次交易支付方式</w:t>
      </w:r>
    </w:p>
    <w:p w14:paraId="166690C8"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根据上市公司与江苏安防、</w:t>
      </w:r>
      <w:proofErr w:type="gramStart"/>
      <w:r w:rsidRPr="002C0D21">
        <w:rPr>
          <w:rFonts w:ascii="Times New Roman" w:eastAsia="宋体" w:hAnsi="Times New Roman" w:cs="Times New Roman"/>
          <w:sz w:val="24"/>
          <w:szCs w:val="24"/>
        </w:rPr>
        <w:t>徐州智安基金</w:t>
      </w:r>
      <w:proofErr w:type="gramEnd"/>
      <w:r w:rsidRPr="002C0D21">
        <w:rPr>
          <w:rFonts w:ascii="Times New Roman" w:eastAsia="宋体" w:hAnsi="Times New Roman" w:cs="Times New Roman"/>
          <w:sz w:val="24"/>
          <w:szCs w:val="24"/>
        </w:rPr>
        <w:t>、德富</w:t>
      </w:r>
      <w:proofErr w:type="gramStart"/>
      <w:r w:rsidRPr="002C0D21">
        <w:rPr>
          <w:rFonts w:ascii="Times New Roman" w:eastAsia="宋体" w:hAnsi="Times New Roman" w:cs="Times New Roman"/>
          <w:sz w:val="24"/>
          <w:szCs w:val="24"/>
        </w:rPr>
        <w:t>勤电子</w:t>
      </w:r>
      <w:proofErr w:type="gramEnd"/>
      <w:r w:rsidRPr="002C0D21">
        <w:rPr>
          <w:rFonts w:ascii="Times New Roman" w:eastAsia="宋体" w:hAnsi="Times New Roman" w:cs="Times New Roman"/>
          <w:sz w:val="24"/>
          <w:szCs w:val="24"/>
        </w:rPr>
        <w:t>科技集团（徐州）有限公司、厦门云攀风能科技有限公司签署的《关于江苏安防科技有限公司之增资扩股协议》（以下简称</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江苏安防增资协议</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），徐州</w:t>
      </w:r>
      <w:proofErr w:type="gramStart"/>
      <w:r w:rsidRPr="002C0D21">
        <w:rPr>
          <w:rFonts w:ascii="Times New Roman" w:eastAsia="宋体" w:hAnsi="Times New Roman" w:cs="Times New Roman"/>
          <w:sz w:val="24"/>
          <w:szCs w:val="24"/>
        </w:rPr>
        <w:t>智安基金</w:t>
      </w:r>
      <w:proofErr w:type="gramEnd"/>
      <w:r w:rsidRPr="002C0D21">
        <w:rPr>
          <w:rFonts w:ascii="Times New Roman" w:eastAsia="宋体" w:hAnsi="Times New Roman" w:cs="Times New Roman"/>
          <w:sz w:val="24"/>
          <w:szCs w:val="24"/>
        </w:rPr>
        <w:t>以现金方式支付对价。截至江苏安防增资协议签署日，增资方已经按照江苏安防及增资扩股信息披露公告要求支付增资价款的</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，即</w:t>
      </w:r>
      <w:r w:rsidRPr="002C0D21">
        <w:rPr>
          <w:rFonts w:ascii="Times New Roman" w:eastAsia="宋体" w:hAnsi="Times New Roman" w:cs="Times New Roman"/>
          <w:sz w:val="24"/>
          <w:szCs w:val="24"/>
        </w:rPr>
        <w:t>1,350</w:t>
      </w:r>
      <w:r w:rsidRPr="002C0D21">
        <w:rPr>
          <w:rFonts w:ascii="Times New Roman" w:eastAsia="宋体" w:hAnsi="Times New Roman" w:cs="Times New Roman"/>
          <w:sz w:val="24"/>
          <w:szCs w:val="24"/>
        </w:rPr>
        <w:t>万元作为保证金。自江苏安防增资协议生效之日起，保证金折抵为增资价款的一部分。增资方在江苏安防增资协议生效后</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个工作日内将除保证金以外的剩余增资价款</w:t>
      </w:r>
      <w:r w:rsidRPr="002C0D21">
        <w:rPr>
          <w:rFonts w:ascii="Times New Roman" w:eastAsia="宋体" w:hAnsi="Times New Roman" w:cs="Times New Roman"/>
          <w:sz w:val="24"/>
          <w:szCs w:val="24"/>
        </w:rPr>
        <w:t>12,150</w:t>
      </w:r>
      <w:r w:rsidRPr="002C0D21">
        <w:rPr>
          <w:rFonts w:ascii="Times New Roman" w:eastAsia="宋体" w:hAnsi="Times New Roman" w:cs="Times New Roman"/>
          <w:sz w:val="24"/>
          <w:szCs w:val="24"/>
        </w:rPr>
        <w:t>万元一次性支付至江苏安</w:t>
      </w:r>
      <w:r w:rsidRPr="002C0D21">
        <w:rPr>
          <w:rFonts w:ascii="Times New Roman" w:eastAsia="宋体" w:hAnsi="Times New Roman" w:cs="Times New Roman"/>
          <w:sz w:val="24"/>
          <w:szCs w:val="24"/>
        </w:rPr>
        <w:lastRenderedPageBreak/>
        <w:t>防指定账户。</w:t>
      </w:r>
    </w:p>
    <w:p w14:paraId="0C757970" w14:textId="0635D427" w:rsidR="00A761F7" w:rsidRPr="00A761F7"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本次重大资产重组不涉及发行股份，亦不涉及募集配套资金。徐州</w:t>
      </w:r>
      <w:proofErr w:type="gramStart"/>
      <w:r w:rsidRPr="002C0D21">
        <w:rPr>
          <w:rFonts w:ascii="Times New Roman" w:eastAsia="宋体" w:hAnsi="Times New Roman" w:cs="Times New Roman"/>
          <w:sz w:val="24"/>
          <w:szCs w:val="24"/>
        </w:rPr>
        <w:t>智安基金</w:t>
      </w:r>
      <w:proofErr w:type="gramEnd"/>
      <w:r w:rsidRPr="002C0D21">
        <w:rPr>
          <w:rFonts w:ascii="Times New Roman" w:eastAsia="宋体" w:hAnsi="Times New Roman" w:cs="Times New Roman"/>
          <w:sz w:val="24"/>
          <w:szCs w:val="24"/>
        </w:rPr>
        <w:t>承诺在本次江苏安防增资扩股资金实缴后</w:t>
      </w:r>
      <w:r w:rsidRPr="002C0D21">
        <w:rPr>
          <w:rFonts w:ascii="Times New Roman" w:eastAsia="宋体" w:hAnsi="Times New Roman" w:cs="Times New Roman"/>
          <w:sz w:val="24"/>
          <w:szCs w:val="24"/>
        </w:rPr>
        <w:t>1</w:t>
      </w:r>
      <w:r w:rsidRPr="002C0D21">
        <w:rPr>
          <w:rFonts w:ascii="Times New Roman" w:eastAsia="宋体" w:hAnsi="Times New Roman" w:cs="Times New Roman"/>
          <w:sz w:val="24"/>
          <w:szCs w:val="24"/>
        </w:rPr>
        <w:t>年内再次增资，并且增资价格不低于本次江苏安防增资扩股的投后估值，最终以届时有效的资产评估结果为准，合计增资不低于</w:t>
      </w:r>
      <w:r w:rsidRPr="002C0D21">
        <w:rPr>
          <w:rFonts w:ascii="Times New Roman" w:eastAsia="宋体" w:hAnsi="Times New Roman" w:cs="Times New Roman"/>
          <w:sz w:val="24"/>
          <w:szCs w:val="24"/>
        </w:rPr>
        <w:t>30,000</w:t>
      </w:r>
      <w:r w:rsidRPr="002C0D21">
        <w:rPr>
          <w:rFonts w:ascii="Times New Roman" w:eastAsia="宋体" w:hAnsi="Times New Roman" w:cs="Times New Roman"/>
          <w:sz w:val="24"/>
          <w:szCs w:val="24"/>
        </w:rPr>
        <w:t>万元人民币。</w:t>
      </w:r>
    </w:p>
    <w:p w14:paraId="4EC70D0B" w14:textId="242C2E23" w:rsidR="00EC1019"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四</w:t>
      </w:r>
      <w:r w:rsidRPr="002C0D21">
        <w:rPr>
          <w:rFonts w:ascii="宋体" w:eastAsia="宋体" w:hAnsi="宋体"/>
          <w:b/>
          <w:bCs/>
          <w:sz w:val="24"/>
          <w:szCs w:val="24"/>
        </w:rPr>
        <w:t>）</w:t>
      </w:r>
      <w:r w:rsidRPr="002C0D21">
        <w:rPr>
          <w:rFonts w:ascii="宋体" w:eastAsia="宋体" w:hAnsi="宋体"/>
          <w:b/>
          <w:bCs/>
          <w:sz w:val="24"/>
          <w:szCs w:val="24"/>
        </w:rPr>
        <w:tab/>
      </w:r>
      <w:proofErr w:type="gramStart"/>
      <w:r w:rsidR="00EC1019" w:rsidRPr="007D16DB">
        <w:rPr>
          <w:rFonts w:ascii="宋体" w:eastAsia="宋体" w:hAnsi="宋体" w:hint="eastAsia"/>
          <w:b/>
          <w:bCs/>
          <w:sz w:val="24"/>
          <w:szCs w:val="24"/>
        </w:rPr>
        <w:t>宸芯科技</w:t>
      </w:r>
      <w:proofErr w:type="gramEnd"/>
      <w:r w:rsidR="00EC1019" w:rsidRPr="007D16DB">
        <w:rPr>
          <w:rFonts w:ascii="宋体" w:eastAsia="宋体" w:hAnsi="宋体" w:hint="eastAsia"/>
          <w:b/>
          <w:bCs/>
          <w:sz w:val="24"/>
          <w:szCs w:val="24"/>
        </w:rPr>
        <w:t>交易方案概述</w:t>
      </w:r>
    </w:p>
    <w:p w14:paraId="42CC1457" w14:textId="4D9CCF85" w:rsidR="004545B3" w:rsidRDefault="004545B3" w:rsidP="004545B3">
      <w:pPr>
        <w:spacing w:beforeLines="50" w:before="156" w:afterLines="50" w:after="156" w:line="360" w:lineRule="auto"/>
        <w:ind w:firstLineChars="200" w:firstLine="482"/>
        <w:rPr>
          <w:rFonts w:ascii="宋体" w:eastAsia="宋体" w:hAnsi="宋体"/>
          <w:sz w:val="24"/>
          <w:szCs w:val="24"/>
        </w:rPr>
      </w:pPr>
      <w:r w:rsidRPr="00A761F7">
        <w:rPr>
          <w:rFonts w:ascii="宋体" w:eastAsia="宋体" w:hAnsi="宋体"/>
          <w:b/>
          <w:bCs/>
          <w:sz w:val="24"/>
          <w:szCs w:val="24"/>
        </w:rPr>
        <w:t>1、转让标的：</w:t>
      </w:r>
      <w:proofErr w:type="gramStart"/>
      <w:r w:rsidRPr="004545B3">
        <w:rPr>
          <w:rFonts w:ascii="宋体" w:eastAsia="宋体" w:hAnsi="宋体"/>
          <w:sz w:val="24"/>
          <w:szCs w:val="24"/>
        </w:rPr>
        <w:t>宸芯科技</w:t>
      </w:r>
      <w:proofErr w:type="gramEnd"/>
      <w:r w:rsidRPr="004545B3">
        <w:rPr>
          <w:rFonts w:ascii="宋体" w:eastAsia="宋体" w:hAnsi="宋体"/>
          <w:sz w:val="24"/>
          <w:szCs w:val="24"/>
        </w:rPr>
        <w:t>15%股权。</w:t>
      </w:r>
    </w:p>
    <w:p w14:paraId="025E4C55" w14:textId="13D20CEB" w:rsidR="004545B3" w:rsidRPr="00A761F7" w:rsidRDefault="004545B3" w:rsidP="004545B3">
      <w:pPr>
        <w:spacing w:beforeLines="50" w:before="156" w:afterLines="50" w:after="156" w:line="360" w:lineRule="auto"/>
        <w:ind w:firstLineChars="200" w:firstLine="482"/>
        <w:rPr>
          <w:rFonts w:ascii="宋体" w:eastAsia="宋体" w:hAnsi="宋体"/>
          <w:b/>
          <w:bCs/>
          <w:sz w:val="24"/>
          <w:szCs w:val="24"/>
        </w:rPr>
      </w:pPr>
      <w:r w:rsidRPr="00A761F7">
        <w:rPr>
          <w:rFonts w:ascii="宋体" w:eastAsia="宋体" w:hAnsi="宋体"/>
          <w:b/>
          <w:bCs/>
          <w:sz w:val="24"/>
          <w:szCs w:val="24"/>
        </w:rPr>
        <w:t>2、交易对方</w:t>
      </w:r>
    </w:p>
    <w:p w14:paraId="57FDEAED" w14:textId="77777777" w:rsidR="004545B3" w:rsidRDefault="004545B3" w:rsidP="004545B3">
      <w:pPr>
        <w:spacing w:beforeLines="50" w:before="156" w:afterLines="50" w:after="156" w:line="360" w:lineRule="auto"/>
        <w:ind w:firstLineChars="200" w:firstLine="480"/>
        <w:rPr>
          <w:rFonts w:ascii="宋体" w:eastAsia="宋体" w:hAnsi="宋体"/>
          <w:sz w:val="24"/>
          <w:szCs w:val="24"/>
        </w:rPr>
      </w:pPr>
      <w:r w:rsidRPr="004545B3">
        <w:rPr>
          <w:rFonts w:ascii="宋体" w:eastAsia="宋体" w:hAnsi="宋体"/>
          <w:sz w:val="24"/>
          <w:szCs w:val="24"/>
        </w:rPr>
        <w:t>由浙江制造基金合伙企业（有限合伙）、深圳市红马全晟投资中心（有限合伙）、北京楚星融智咨询有限公司、日照</w:t>
      </w:r>
      <w:proofErr w:type="gramStart"/>
      <w:r w:rsidRPr="004545B3">
        <w:rPr>
          <w:rFonts w:ascii="宋体" w:eastAsia="宋体" w:hAnsi="宋体"/>
          <w:sz w:val="24"/>
          <w:szCs w:val="24"/>
        </w:rPr>
        <w:t>宸睿</w:t>
      </w:r>
      <w:proofErr w:type="gramEnd"/>
      <w:r w:rsidRPr="004545B3">
        <w:rPr>
          <w:rFonts w:ascii="宋体" w:eastAsia="宋体" w:hAnsi="宋体"/>
          <w:sz w:val="24"/>
          <w:szCs w:val="24"/>
        </w:rPr>
        <w:t>联合一期股权投资管理中心（有限合伙）、南京</w:t>
      </w:r>
      <w:proofErr w:type="gramStart"/>
      <w:r w:rsidRPr="004545B3">
        <w:rPr>
          <w:rFonts w:ascii="宋体" w:eastAsia="宋体" w:hAnsi="宋体"/>
          <w:sz w:val="24"/>
          <w:szCs w:val="24"/>
        </w:rPr>
        <w:t>翎贲昭离</w:t>
      </w:r>
      <w:proofErr w:type="gramEnd"/>
      <w:r w:rsidRPr="004545B3">
        <w:rPr>
          <w:rFonts w:ascii="宋体" w:eastAsia="宋体" w:hAnsi="宋体"/>
          <w:sz w:val="24"/>
          <w:szCs w:val="24"/>
        </w:rPr>
        <w:t>股权投资合伙企业（有限合伙）、天津</w:t>
      </w:r>
      <w:proofErr w:type="gramStart"/>
      <w:r w:rsidRPr="004545B3">
        <w:rPr>
          <w:rFonts w:ascii="宋体" w:eastAsia="宋体" w:hAnsi="宋体"/>
          <w:sz w:val="24"/>
          <w:szCs w:val="24"/>
        </w:rPr>
        <w:t>维致瑾</w:t>
      </w:r>
      <w:proofErr w:type="gramEnd"/>
      <w:r w:rsidRPr="004545B3">
        <w:rPr>
          <w:rFonts w:ascii="宋体" w:eastAsia="宋体" w:hAnsi="宋体"/>
          <w:sz w:val="24"/>
          <w:szCs w:val="24"/>
        </w:rPr>
        <w:t>企业管理咨询中心（有限合伙）、创新创业新动能股权投资基金（湖北）合伙企业（有限合伙）、北京紫岩连合科技有限公司组成的联合体。</w:t>
      </w:r>
    </w:p>
    <w:p w14:paraId="743CC53C" w14:textId="642E56CE"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3、</w:t>
      </w:r>
      <w:r w:rsidRPr="007D16DB">
        <w:rPr>
          <w:rFonts w:ascii="宋体" w:eastAsia="宋体" w:hAnsi="宋体" w:hint="eastAsia"/>
          <w:b/>
          <w:bCs/>
          <w:sz w:val="24"/>
          <w:szCs w:val="24"/>
        </w:rPr>
        <w:t>本次交易的方案</w:t>
      </w:r>
    </w:p>
    <w:p w14:paraId="5A677FB6"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proofErr w:type="gramStart"/>
      <w:r w:rsidRPr="002C0D21">
        <w:rPr>
          <w:rFonts w:ascii="Times New Roman" w:eastAsia="宋体" w:hAnsi="Times New Roman" w:cs="Times New Roman"/>
          <w:sz w:val="24"/>
          <w:szCs w:val="24"/>
        </w:rPr>
        <w:t>联芯科技</w:t>
      </w:r>
      <w:proofErr w:type="gramEnd"/>
      <w:r w:rsidRPr="002C0D21">
        <w:rPr>
          <w:rFonts w:ascii="Times New Roman" w:eastAsia="宋体" w:hAnsi="Times New Roman" w:cs="Times New Roman"/>
          <w:sz w:val="24"/>
          <w:szCs w:val="24"/>
        </w:rPr>
        <w:t>通过在北交所以公开挂牌方式，将其持有的</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15%</w:t>
      </w:r>
      <w:r w:rsidRPr="002C0D21">
        <w:rPr>
          <w:rFonts w:ascii="Times New Roman" w:eastAsia="宋体" w:hAnsi="Times New Roman" w:cs="Times New Roman"/>
          <w:sz w:val="24"/>
          <w:szCs w:val="24"/>
        </w:rPr>
        <w:t>股权转让给联合体。联合体成员为浙江制造基金合伙企业（有限合伙）、深圳市红马全晟投资中心（有限合伙）、北京楚星融智咨询有限公司、日照</w:t>
      </w:r>
      <w:proofErr w:type="gramStart"/>
      <w:r w:rsidRPr="002C0D21">
        <w:rPr>
          <w:rFonts w:ascii="Times New Roman" w:eastAsia="宋体" w:hAnsi="Times New Roman" w:cs="Times New Roman"/>
          <w:sz w:val="24"/>
          <w:szCs w:val="24"/>
        </w:rPr>
        <w:t>宸睿</w:t>
      </w:r>
      <w:proofErr w:type="gramEnd"/>
      <w:r w:rsidRPr="002C0D21">
        <w:rPr>
          <w:rFonts w:ascii="Times New Roman" w:eastAsia="宋体" w:hAnsi="Times New Roman" w:cs="Times New Roman"/>
          <w:sz w:val="24"/>
          <w:szCs w:val="24"/>
        </w:rPr>
        <w:t>联合一期股权投资管理中心（有限合伙）、南京</w:t>
      </w:r>
      <w:proofErr w:type="gramStart"/>
      <w:r w:rsidRPr="002C0D21">
        <w:rPr>
          <w:rFonts w:ascii="Times New Roman" w:eastAsia="宋体" w:hAnsi="Times New Roman" w:cs="Times New Roman"/>
          <w:sz w:val="24"/>
          <w:szCs w:val="24"/>
        </w:rPr>
        <w:t>翎贲昭离</w:t>
      </w:r>
      <w:proofErr w:type="gramEnd"/>
      <w:r w:rsidRPr="002C0D21">
        <w:rPr>
          <w:rFonts w:ascii="Times New Roman" w:eastAsia="宋体" w:hAnsi="Times New Roman" w:cs="Times New Roman"/>
          <w:sz w:val="24"/>
          <w:szCs w:val="24"/>
        </w:rPr>
        <w:t>股权投资合伙企业（有限合伙）、天津</w:t>
      </w:r>
      <w:proofErr w:type="gramStart"/>
      <w:r w:rsidRPr="002C0D21">
        <w:rPr>
          <w:rFonts w:ascii="Times New Roman" w:eastAsia="宋体" w:hAnsi="Times New Roman" w:cs="Times New Roman"/>
          <w:sz w:val="24"/>
          <w:szCs w:val="24"/>
        </w:rPr>
        <w:t>维致瑾</w:t>
      </w:r>
      <w:proofErr w:type="gramEnd"/>
      <w:r w:rsidRPr="002C0D21">
        <w:rPr>
          <w:rFonts w:ascii="Times New Roman" w:eastAsia="宋体" w:hAnsi="Times New Roman" w:cs="Times New Roman"/>
          <w:sz w:val="24"/>
          <w:szCs w:val="24"/>
        </w:rPr>
        <w:t>企业管理咨询中心（有限合伙）、创新创业新动能股权投资基金（湖北）合伙企业（有限合伙）、北京紫岩连合科技有限公司。</w:t>
      </w:r>
    </w:p>
    <w:p w14:paraId="4F9B5F21"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本次股权转让前，</w:t>
      </w:r>
      <w:proofErr w:type="gramStart"/>
      <w:r w:rsidRPr="002C0D21">
        <w:rPr>
          <w:rFonts w:ascii="Times New Roman" w:eastAsia="宋体" w:hAnsi="Times New Roman" w:cs="Times New Roman"/>
          <w:sz w:val="24"/>
          <w:szCs w:val="24"/>
        </w:rPr>
        <w:t>联芯科技持有宸芯科技</w:t>
      </w:r>
      <w:proofErr w:type="gramEnd"/>
      <w:r w:rsidRPr="002C0D21">
        <w:rPr>
          <w:rFonts w:ascii="Times New Roman" w:eastAsia="宋体" w:hAnsi="Times New Roman" w:cs="Times New Roman"/>
          <w:sz w:val="24"/>
          <w:szCs w:val="24"/>
        </w:rPr>
        <w:t>17.23%</w:t>
      </w:r>
      <w:r w:rsidRPr="002C0D21">
        <w:rPr>
          <w:rFonts w:ascii="Times New Roman" w:eastAsia="宋体" w:hAnsi="Times New Roman" w:cs="Times New Roman"/>
          <w:sz w:val="24"/>
          <w:szCs w:val="24"/>
        </w:rPr>
        <w:t>股权；本次股权转让后，</w:t>
      </w:r>
      <w:proofErr w:type="gramStart"/>
      <w:r w:rsidRPr="002C0D21">
        <w:rPr>
          <w:rFonts w:ascii="Times New Roman" w:eastAsia="宋体" w:hAnsi="Times New Roman" w:cs="Times New Roman"/>
          <w:sz w:val="24"/>
          <w:szCs w:val="24"/>
        </w:rPr>
        <w:t>联芯科技持有宸芯科技</w:t>
      </w:r>
      <w:proofErr w:type="gramEnd"/>
      <w:r w:rsidRPr="002C0D21">
        <w:rPr>
          <w:rFonts w:ascii="Times New Roman" w:eastAsia="宋体" w:hAnsi="Times New Roman" w:cs="Times New Roman"/>
          <w:sz w:val="24"/>
          <w:szCs w:val="24"/>
        </w:rPr>
        <w:t>2.23%</w:t>
      </w:r>
      <w:r w:rsidRPr="002C0D21">
        <w:rPr>
          <w:rFonts w:ascii="Times New Roman" w:eastAsia="宋体" w:hAnsi="Times New Roman" w:cs="Times New Roman"/>
          <w:sz w:val="24"/>
          <w:szCs w:val="24"/>
        </w:rPr>
        <w:t>股权。</w:t>
      </w:r>
    </w:p>
    <w:p w14:paraId="169D520D" w14:textId="6907F37A"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4、</w:t>
      </w:r>
      <w:r w:rsidRPr="007D16DB">
        <w:rPr>
          <w:rFonts w:ascii="宋体" w:eastAsia="宋体" w:hAnsi="宋体" w:hint="eastAsia"/>
          <w:b/>
          <w:bCs/>
          <w:sz w:val="24"/>
          <w:szCs w:val="24"/>
        </w:rPr>
        <w:t>本次交易标的资产的估值及定价</w:t>
      </w:r>
    </w:p>
    <w:p w14:paraId="2C618721"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根据中资资产评估有限公司出具的并经国家出资企业备案的《联芯科技有限公司拟转让宸芯科技有限公司股权涉及其股东全部权益价值资产评估报告》（中资评报字（</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232</w:t>
      </w:r>
      <w:r w:rsidRPr="002C0D21">
        <w:rPr>
          <w:rFonts w:ascii="Times New Roman" w:eastAsia="宋体" w:hAnsi="Times New Roman" w:cs="Times New Roman"/>
          <w:sz w:val="24"/>
          <w:szCs w:val="24"/>
        </w:rPr>
        <w:t>号），以</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4</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30</w:t>
      </w:r>
      <w:r w:rsidRPr="002C0D21">
        <w:rPr>
          <w:rFonts w:ascii="Times New Roman" w:eastAsia="宋体" w:hAnsi="Times New Roman" w:cs="Times New Roman"/>
          <w:sz w:val="24"/>
          <w:szCs w:val="24"/>
        </w:rPr>
        <w:t>日为评估基准日，</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股东</w:t>
      </w:r>
      <w:r w:rsidRPr="002C0D21">
        <w:rPr>
          <w:rFonts w:ascii="Times New Roman" w:eastAsia="宋体" w:hAnsi="Times New Roman" w:cs="Times New Roman"/>
          <w:sz w:val="24"/>
          <w:szCs w:val="24"/>
        </w:rPr>
        <w:lastRenderedPageBreak/>
        <w:t>全部权益评估值为</w:t>
      </w:r>
      <w:r w:rsidRPr="002C0D21">
        <w:rPr>
          <w:rFonts w:ascii="Times New Roman" w:eastAsia="宋体" w:hAnsi="Times New Roman" w:cs="Times New Roman"/>
          <w:sz w:val="24"/>
          <w:szCs w:val="24"/>
        </w:rPr>
        <w:t>184,381.48</w:t>
      </w:r>
      <w:r w:rsidRPr="002C0D21">
        <w:rPr>
          <w:rFonts w:ascii="Times New Roman" w:eastAsia="宋体" w:hAnsi="Times New Roman" w:cs="Times New Roman"/>
          <w:sz w:val="24"/>
          <w:szCs w:val="24"/>
        </w:rPr>
        <w:t>万元。上述评估结果均已经中国信息通信科技集团有限公司备案。</w:t>
      </w:r>
    </w:p>
    <w:p w14:paraId="3489BEA0"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联合体通过在北交所以公开摘牌方式受让联</w:t>
      </w:r>
      <w:proofErr w:type="gramStart"/>
      <w:r w:rsidRPr="002C0D21">
        <w:rPr>
          <w:rFonts w:ascii="Times New Roman" w:eastAsia="宋体" w:hAnsi="Times New Roman" w:cs="Times New Roman"/>
          <w:sz w:val="24"/>
          <w:szCs w:val="24"/>
        </w:rPr>
        <w:t>芯科技</w:t>
      </w:r>
      <w:proofErr w:type="gramEnd"/>
      <w:r w:rsidRPr="002C0D21">
        <w:rPr>
          <w:rFonts w:ascii="Times New Roman" w:eastAsia="宋体" w:hAnsi="Times New Roman" w:cs="Times New Roman"/>
          <w:sz w:val="24"/>
          <w:szCs w:val="24"/>
        </w:rPr>
        <w:t>持有的</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15%</w:t>
      </w:r>
      <w:r w:rsidRPr="002C0D21">
        <w:rPr>
          <w:rFonts w:ascii="Times New Roman" w:eastAsia="宋体" w:hAnsi="Times New Roman" w:cs="Times New Roman"/>
          <w:sz w:val="24"/>
          <w:szCs w:val="24"/>
        </w:rPr>
        <w:t>股权，交易价格为</w:t>
      </w:r>
      <w:r w:rsidRPr="002C0D21">
        <w:rPr>
          <w:rFonts w:ascii="Times New Roman" w:eastAsia="宋体" w:hAnsi="Times New Roman" w:cs="Times New Roman"/>
          <w:sz w:val="24"/>
          <w:szCs w:val="24"/>
        </w:rPr>
        <w:t>27,657.222</w:t>
      </w:r>
      <w:r w:rsidRPr="002C0D21">
        <w:rPr>
          <w:rFonts w:ascii="Times New Roman" w:eastAsia="宋体" w:hAnsi="Times New Roman" w:cs="Times New Roman"/>
          <w:sz w:val="24"/>
          <w:szCs w:val="24"/>
        </w:rPr>
        <w:t>万元人民币。</w:t>
      </w:r>
    </w:p>
    <w:p w14:paraId="2362DE76" w14:textId="77777777" w:rsidR="00A761F7" w:rsidRPr="002C0D21"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其中浙江制造基金合伙企业（有限合伙）支付交易价款</w:t>
      </w:r>
      <w:r w:rsidRPr="002C0D21">
        <w:rPr>
          <w:rFonts w:ascii="Times New Roman" w:eastAsia="宋体" w:hAnsi="Times New Roman" w:cs="Times New Roman"/>
          <w:sz w:val="24"/>
          <w:szCs w:val="24"/>
        </w:rPr>
        <w:t>5,000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2.7118%</w:t>
      </w:r>
      <w:r w:rsidRPr="002C0D21">
        <w:rPr>
          <w:rFonts w:ascii="Times New Roman" w:eastAsia="宋体" w:hAnsi="Times New Roman" w:cs="Times New Roman"/>
          <w:sz w:val="24"/>
          <w:szCs w:val="24"/>
        </w:rPr>
        <w:t>股权；</w:t>
      </w:r>
      <w:r w:rsidRPr="002C0D21">
        <w:rPr>
          <w:rFonts w:ascii="Times New Roman" w:eastAsia="宋体" w:hAnsi="Times New Roman" w:cs="Times New Roman"/>
          <w:sz w:val="24"/>
          <w:szCs w:val="24"/>
        </w:rPr>
        <w:t xml:space="preserve"> </w:t>
      </w:r>
      <w:r w:rsidRPr="002C0D21">
        <w:rPr>
          <w:rFonts w:ascii="Times New Roman" w:eastAsia="宋体" w:hAnsi="Times New Roman" w:cs="Times New Roman"/>
          <w:sz w:val="24"/>
          <w:szCs w:val="24"/>
        </w:rPr>
        <w:t>深圳市红马全晟投资中心（有限合伙）支付交易价款</w:t>
      </w:r>
      <w:r w:rsidRPr="002C0D21">
        <w:rPr>
          <w:rFonts w:ascii="Times New Roman" w:eastAsia="宋体" w:hAnsi="Times New Roman" w:cs="Times New Roman"/>
          <w:sz w:val="24"/>
          <w:szCs w:val="24"/>
        </w:rPr>
        <w:t>2,000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1.0847%</w:t>
      </w:r>
      <w:r w:rsidRPr="002C0D21">
        <w:rPr>
          <w:rFonts w:ascii="Times New Roman" w:eastAsia="宋体" w:hAnsi="Times New Roman" w:cs="Times New Roman"/>
          <w:sz w:val="24"/>
          <w:szCs w:val="24"/>
        </w:rPr>
        <w:t>股权；北京楚星融智咨询有限公司支付交易价款</w:t>
      </w:r>
      <w:r w:rsidRPr="002C0D21">
        <w:rPr>
          <w:rFonts w:ascii="Times New Roman" w:eastAsia="宋体" w:hAnsi="Times New Roman" w:cs="Times New Roman"/>
          <w:sz w:val="24"/>
          <w:szCs w:val="24"/>
        </w:rPr>
        <w:t>1,000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0.5424%</w:t>
      </w:r>
      <w:r w:rsidRPr="002C0D21">
        <w:rPr>
          <w:rFonts w:ascii="Times New Roman" w:eastAsia="宋体" w:hAnsi="Times New Roman" w:cs="Times New Roman"/>
          <w:sz w:val="24"/>
          <w:szCs w:val="24"/>
        </w:rPr>
        <w:t>股权；日照</w:t>
      </w:r>
      <w:proofErr w:type="gramStart"/>
      <w:r w:rsidRPr="002C0D21">
        <w:rPr>
          <w:rFonts w:ascii="Times New Roman" w:eastAsia="宋体" w:hAnsi="Times New Roman" w:cs="Times New Roman"/>
          <w:sz w:val="24"/>
          <w:szCs w:val="24"/>
        </w:rPr>
        <w:t>宸睿</w:t>
      </w:r>
      <w:proofErr w:type="gramEnd"/>
      <w:r w:rsidRPr="002C0D21">
        <w:rPr>
          <w:rFonts w:ascii="Times New Roman" w:eastAsia="宋体" w:hAnsi="Times New Roman" w:cs="Times New Roman"/>
          <w:sz w:val="24"/>
          <w:szCs w:val="24"/>
        </w:rPr>
        <w:t>联合一期股权投资管理中心（有限合伙）支付交易价款</w:t>
      </w:r>
      <w:r w:rsidRPr="002C0D21">
        <w:rPr>
          <w:rFonts w:ascii="Times New Roman" w:eastAsia="宋体" w:hAnsi="Times New Roman" w:cs="Times New Roman"/>
          <w:sz w:val="24"/>
          <w:szCs w:val="24"/>
        </w:rPr>
        <w:t>1,000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0.5424%</w:t>
      </w:r>
      <w:r w:rsidRPr="002C0D21">
        <w:rPr>
          <w:rFonts w:ascii="Times New Roman" w:eastAsia="宋体" w:hAnsi="Times New Roman" w:cs="Times New Roman"/>
          <w:sz w:val="24"/>
          <w:szCs w:val="24"/>
        </w:rPr>
        <w:t>股权；南京</w:t>
      </w:r>
      <w:proofErr w:type="gramStart"/>
      <w:r w:rsidRPr="002C0D21">
        <w:rPr>
          <w:rFonts w:ascii="Times New Roman" w:eastAsia="宋体" w:hAnsi="Times New Roman" w:cs="Times New Roman"/>
          <w:sz w:val="24"/>
          <w:szCs w:val="24"/>
        </w:rPr>
        <w:t>翎贲昭离</w:t>
      </w:r>
      <w:proofErr w:type="gramEnd"/>
      <w:r w:rsidRPr="002C0D21">
        <w:rPr>
          <w:rFonts w:ascii="Times New Roman" w:eastAsia="宋体" w:hAnsi="Times New Roman" w:cs="Times New Roman"/>
          <w:sz w:val="24"/>
          <w:szCs w:val="24"/>
        </w:rPr>
        <w:t>股权投资合伙企业（有限合伙）支付交易价款</w:t>
      </w:r>
      <w:r w:rsidRPr="002C0D21">
        <w:rPr>
          <w:rFonts w:ascii="Times New Roman" w:eastAsia="宋体" w:hAnsi="Times New Roman" w:cs="Times New Roman"/>
          <w:sz w:val="24"/>
          <w:szCs w:val="24"/>
        </w:rPr>
        <w:t>12,000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6.5083%</w:t>
      </w:r>
      <w:r w:rsidRPr="002C0D21">
        <w:rPr>
          <w:rFonts w:ascii="Times New Roman" w:eastAsia="宋体" w:hAnsi="Times New Roman" w:cs="Times New Roman"/>
          <w:sz w:val="24"/>
          <w:szCs w:val="24"/>
        </w:rPr>
        <w:t>股权；天津</w:t>
      </w:r>
      <w:proofErr w:type="gramStart"/>
      <w:r w:rsidRPr="002C0D21">
        <w:rPr>
          <w:rFonts w:ascii="Times New Roman" w:eastAsia="宋体" w:hAnsi="Times New Roman" w:cs="Times New Roman"/>
          <w:sz w:val="24"/>
          <w:szCs w:val="24"/>
        </w:rPr>
        <w:t>维致瑾</w:t>
      </w:r>
      <w:proofErr w:type="gramEnd"/>
      <w:r w:rsidRPr="002C0D21">
        <w:rPr>
          <w:rFonts w:ascii="Times New Roman" w:eastAsia="宋体" w:hAnsi="Times New Roman" w:cs="Times New Roman"/>
          <w:sz w:val="24"/>
          <w:szCs w:val="24"/>
        </w:rPr>
        <w:t>企业管理咨询中心（有限合伙）支付交易价款</w:t>
      </w:r>
      <w:r w:rsidRPr="002C0D21">
        <w:rPr>
          <w:rFonts w:ascii="Times New Roman" w:eastAsia="宋体" w:hAnsi="Times New Roman" w:cs="Times New Roman"/>
          <w:sz w:val="24"/>
          <w:szCs w:val="24"/>
        </w:rPr>
        <w:t>3,000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1.6270%</w:t>
      </w:r>
      <w:r w:rsidRPr="002C0D21">
        <w:rPr>
          <w:rFonts w:ascii="Times New Roman" w:eastAsia="宋体" w:hAnsi="Times New Roman" w:cs="Times New Roman"/>
          <w:sz w:val="24"/>
          <w:szCs w:val="24"/>
        </w:rPr>
        <w:t>股权；创新创业新动能股权投资基金（湖北）合伙企业（有限合伙）支付交易价款</w:t>
      </w:r>
      <w:r w:rsidRPr="002C0D21">
        <w:rPr>
          <w:rFonts w:ascii="Times New Roman" w:eastAsia="宋体" w:hAnsi="Times New Roman" w:cs="Times New Roman"/>
          <w:sz w:val="24"/>
          <w:szCs w:val="24"/>
        </w:rPr>
        <w:t>3,000</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1.6270%</w:t>
      </w:r>
      <w:r w:rsidRPr="002C0D21">
        <w:rPr>
          <w:rFonts w:ascii="Times New Roman" w:eastAsia="宋体" w:hAnsi="Times New Roman" w:cs="Times New Roman"/>
          <w:sz w:val="24"/>
          <w:szCs w:val="24"/>
        </w:rPr>
        <w:t>股权；北京紫岩连合科技有限公司支付交易价款</w:t>
      </w:r>
      <w:r w:rsidRPr="002C0D21">
        <w:rPr>
          <w:rFonts w:ascii="Times New Roman" w:eastAsia="宋体" w:hAnsi="Times New Roman" w:cs="Times New Roman"/>
          <w:sz w:val="24"/>
          <w:szCs w:val="24"/>
        </w:rPr>
        <w:t>657.222</w:t>
      </w:r>
      <w:r w:rsidRPr="002C0D21">
        <w:rPr>
          <w:rFonts w:ascii="Times New Roman" w:eastAsia="宋体" w:hAnsi="Times New Roman" w:cs="Times New Roman"/>
          <w:sz w:val="24"/>
          <w:szCs w:val="24"/>
        </w:rPr>
        <w:t>万元人民币，持有</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0.3564%</w:t>
      </w:r>
      <w:r w:rsidRPr="002C0D21">
        <w:rPr>
          <w:rFonts w:ascii="Times New Roman" w:eastAsia="宋体" w:hAnsi="Times New Roman" w:cs="Times New Roman"/>
          <w:sz w:val="24"/>
          <w:szCs w:val="24"/>
        </w:rPr>
        <w:t>股权。</w:t>
      </w:r>
    </w:p>
    <w:p w14:paraId="22FD22A5" w14:textId="6E881508" w:rsidR="00A761F7" w:rsidRPr="007D16DB" w:rsidRDefault="00A761F7" w:rsidP="00A761F7">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5、</w:t>
      </w:r>
      <w:r w:rsidRPr="007D16DB">
        <w:rPr>
          <w:rFonts w:ascii="宋体" w:eastAsia="宋体" w:hAnsi="宋体" w:hint="eastAsia"/>
          <w:b/>
          <w:bCs/>
          <w:sz w:val="24"/>
          <w:szCs w:val="24"/>
        </w:rPr>
        <w:t>本次交易支付方式</w:t>
      </w:r>
    </w:p>
    <w:p w14:paraId="651471D4" w14:textId="72901119" w:rsidR="004545B3" w:rsidRPr="00A761F7" w:rsidRDefault="00A761F7" w:rsidP="00A761F7">
      <w:pPr>
        <w:spacing w:beforeLines="50" w:before="156" w:afterLines="50" w:after="156" w:line="360" w:lineRule="auto"/>
        <w:ind w:firstLineChars="200" w:firstLine="480"/>
        <w:rPr>
          <w:rFonts w:ascii="Times New Roman" w:eastAsia="宋体" w:hAnsi="Times New Roman" w:cs="Times New Roman"/>
          <w:sz w:val="24"/>
          <w:szCs w:val="24"/>
          <w:highlight w:val="cyan"/>
        </w:rPr>
      </w:pPr>
      <w:r w:rsidRPr="002C0D21">
        <w:rPr>
          <w:rFonts w:ascii="Times New Roman" w:eastAsia="宋体" w:hAnsi="Times New Roman" w:cs="Times New Roman"/>
          <w:sz w:val="24"/>
          <w:szCs w:val="24"/>
        </w:rPr>
        <w:t>根据</w:t>
      </w:r>
      <w:proofErr w:type="gramStart"/>
      <w:r w:rsidRPr="002C0D21">
        <w:rPr>
          <w:rFonts w:ascii="Times New Roman" w:eastAsia="宋体" w:hAnsi="Times New Roman" w:cs="Times New Roman"/>
          <w:sz w:val="24"/>
          <w:szCs w:val="24"/>
        </w:rPr>
        <w:t>联芯科技</w:t>
      </w:r>
      <w:proofErr w:type="gramEnd"/>
      <w:r w:rsidRPr="002C0D21">
        <w:rPr>
          <w:rFonts w:ascii="Times New Roman" w:eastAsia="宋体" w:hAnsi="Times New Roman" w:cs="Times New Roman"/>
          <w:sz w:val="24"/>
          <w:szCs w:val="24"/>
        </w:rPr>
        <w:t>与联合体成员签署的《产权交易合同》，截至合同签署日，联合体已经按照产权转让信息披露公告要求支付等额于挂牌底价</w:t>
      </w:r>
      <w:r w:rsidRPr="002C0D21">
        <w:rPr>
          <w:rFonts w:ascii="Times New Roman" w:eastAsia="宋体" w:hAnsi="Times New Roman" w:cs="Times New Roman"/>
          <w:sz w:val="24"/>
          <w:szCs w:val="24"/>
        </w:rPr>
        <w:t>25%</w:t>
      </w:r>
      <w:r w:rsidRPr="002C0D21">
        <w:rPr>
          <w:rFonts w:ascii="Times New Roman" w:eastAsia="宋体" w:hAnsi="Times New Roman" w:cs="Times New Roman"/>
          <w:sz w:val="24"/>
          <w:szCs w:val="24"/>
        </w:rPr>
        <w:t>，即</w:t>
      </w:r>
      <w:r w:rsidRPr="002C0D21">
        <w:rPr>
          <w:rFonts w:ascii="Times New Roman" w:eastAsia="宋体" w:hAnsi="Times New Roman" w:cs="Times New Roman"/>
          <w:sz w:val="24"/>
          <w:szCs w:val="24"/>
        </w:rPr>
        <w:t>6,914.3055</w:t>
      </w:r>
      <w:r w:rsidRPr="002C0D21">
        <w:rPr>
          <w:rFonts w:ascii="Times New Roman" w:eastAsia="宋体" w:hAnsi="Times New Roman" w:cs="Times New Roman"/>
          <w:sz w:val="24"/>
          <w:szCs w:val="24"/>
        </w:rPr>
        <w:t>万元的保证金。在合同签订次日起</w:t>
      </w:r>
      <w:r w:rsidRPr="002C0D21">
        <w:rPr>
          <w:rFonts w:ascii="Times New Roman" w:eastAsia="宋体" w:hAnsi="Times New Roman" w:cs="Times New Roman"/>
          <w:sz w:val="24"/>
          <w:szCs w:val="24"/>
        </w:rPr>
        <w:t>3</w:t>
      </w:r>
      <w:r w:rsidRPr="002C0D21">
        <w:rPr>
          <w:rFonts w:ascii="Times New Roman" w:eastAsia="宋体" w:hAnsi="Times New Roman" w:cs="Times New Roman"/>
          <w:sz w:val="24"/>
          <w:szCs w:val="24"/>
        </w:rPr>
        <w:t>个工作日内，联合体将除保证金以外的剩余转让价款一次性汇入北交所指定的结算账户，并同意北交所在合同生效后</w:t>
      </w:r>
      <w:r w:rsidRPr="002C0D21">
        <w:rPr>
          <w:rFonts w:ascii="Times New Roman" w:eastAsia="宋体" w:hAnsi="Times New Roman" w:cs="Times New Roman"/>
          <w:sz w:val="24"/>
          <w:szCs w:val="24"/>
        </w:rPr>
        <w:t>3</w:t>
      </w:r>
      <w:r w:rsidRPr="002C0D21">
        <w:rPr>
          <w:rFonts w:ascii="Times New Roman" w:eastAsia="宋体" w:hAnsi="Times New Roman" w:cs="Times New Roman"/>
          <w:sz w:val="24"/>
          <w:szCs w:val="24"/>
        </w:rPr>
        <w:t>个工作日内将全部交易价款划转至</w:t>
      </w:r>
      <w:proofErr w:type="gramStart"/>
      <w:r w:rsidRPr="002C0D21">
        <w:rPr>
          <w:rFonts w:ascii="Times New Roman" w:eastAsia="宋体" w:hAnsi="Times New Roman" w:cs="Times New Roman"/>
          <w:sz w:val="24"/>
          <w:szCs w:val="24"/>
        </w:rPr>
        <w:t>联芯科技</w:t>
      </w:r>
      <w:proofErr w:type="gramEnd"/>
      <w:r w:rsidRPr="002C0D21">
        <w:rPr>
          <w:rFonts w:ascii="Times New Roman" w:eastAsia="宋体" w:hAnsi="Times New Roman" w:cs="Times New Roman"/>
          <w:sz w:val="24"/>
          <w:szCs w:val="24"/>
        </w:rPr>
        <w:t>指定银行账户。</w:t>
      </w:r>
    </w:p>
    <w:p w14:paraId="2CE1ADD5" w14:textId="61413D98" w:rsidR="00A00E78"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五</w:t>
      </w:r>
      <w:r w:rsidRPr="002C0D21">
        <w:rPr>
          <w:rFonts w:ascii="宋体" w:eastAsia="宋体" w:hAnsi="宋体"/>
          <w:b/>
          <w:bCs/>
          <w:sz w:val="24"/>
          <w:szCs w:val="24"/>
        </w:rPr>
        <w:t>）</w:t>
      </w:r>
      <w:r w:rsidRPr="002C0D21">
        <w:rPr>
          <w:rFonts w:ascii="宋体" w:eastAsia="宋体" w:hAnsi="宋体"/>
          <w:b/>
          <w:bCs/>
          <w:sz w:val="24"/>
          <w:szCs w:val="24"/>
        </w:rPr>
        <w:tab/>
      </w:r>
      <w:r w:rsidR="00A00E78" w:rsidRPr="007D16DB">
        <w:rPr>
          <w:rFonts w:ascii="宋体" w:eastAsia="宋体" w:hAnsi="宋体" w:hint="eastAsia"/>
          <w:b/>
          <w:bCs/>
          <w:sz w:val="24"/>
          <w:szCs w:val="24"/>
        </w:rPr>
        <w:t>本次交易的决策过程及批准文件</w:t>
      </w:r>
    </w:p>
    <w:p w14:paraId="48128552" w14:textId="2750E4D8" w:rsidR="00797D7A" w:rsidRPr="007D16DB" w:rsidRDefault="00D352BB" w:rsidP="007D16DB">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1、</w:t>
      </w:r>
      <w:r w:rsidR="00797D7A" w:rsidRPr="007D16DB">
        <w:rPr>
          <w:rFonts w:ascii="宋体" w:eastAsia="宋体" w:hAnsi="宋体" w:hint="eastAsia"/>
          <w:b/>
          <w:bCs/>
          <w:sz w:val="24"/>
          <w:szCs w:val="24"/>
        </w:rPr>
        <w:t>本次交易已履行的决策程序</w:t>
      </w:r>
    </w:p>
    <w:p w14:paraId="111FFB07" w14:textId="01B2A82F"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10</w:t>
      </w:r>
      <w:r w:rsidR="00325569" w:rsidRPr="002C0D21">
        <w:rPr>
          <w:rFonts w:ascii="Times New Roman" w:eastAsia="宋体" w:hAnsi="Times New Roman" w:cs="Times New Roman"/>
          <w:sz w:val="24"/>
          <w:szCs w:val="24"/>
        </w:rPr>
        <w:t>日，中国信科出具《关于大唐恩智浦引入增资相关方案的请示的复函》，批准大唐</w:t>
      </w:r>
      <w:proofErr w:type="gramStart"/>
      <w:r w:rsidR="00325569" w:rsidRPr="002C0D21">
        <w:rPr>
          <w:rFonts w:ascii="Times New Roman" w:eastAsia="宋体" w:hAnsi="Times New Roman" w:cs="Times New Roman"/>
          <w:sz w:val="24"/>
          <w:szCs w:val="24"/>
        </w:rPr>
        <w:t>恩智浦</w:t>
      </w:r>
      <w:proofErr w:type="gramEnd"/>
      <w:r w:rsidR="00325569" w:rsidRPr="002C0D21">
        <w:rPr>
          <w:rFonts w:ascii="Times New Roman" w:eastAsia="宋体" w:hAnsi="Times New Roman" w:cs="Times New Roman"/>
          <w:sz w:val="24"/>
          <w:szCs w:val="24"/>
        </w:rPr>
        <w:t>挂牌方案，</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日大唐恩</w:t>
      </w:r>
      <w:proofErr w:type="gramStart"/>
      <w:r w:rsidR="00325569" w:rsidRPr="002C0D21">
        <w:rPr>
          <w:rFonts w:ascii="Times New Roman" w:eastAsia="宋体" w:hAnsi="Times New Roman" w:cs="Times New Roman"/>
          <w:sz w:val="24"/>
          <w:szCs w:val="24"/>
        </w:rPr>
        <w:t>智浦获得</w:t>
      </w:r>
      <w:proofErr w:type="gramEnd"/>
      <w:r w:rsidR="00325569" w:rsidRPr="002C0D21">
        <w:rPr>
          <w:rFonts w:ascii="Times New Roman" w:eastAsia="宋体" w:hAnsi="Times New Roman" w:cs="Times New Roman"/>
          <w:sz w:val="24"/>
          <w:szCs w:val="24"/>
        </w:rPr>
        <w:t>本次评估的《国有资产评估备案表》，备案号为</w:t>
      </w:r>
      <w:r w:rsidR="00325569" w:rsidRPr="002C0D21">
        <w:rPr>
          <w:rFonts w:ascii="Times New Roman" w:eastAsia="宋体" w:hAnsi="Times New Roman" w:cs="Times New Roman"/>
          <w:sz w:val="24"/>
          <w:szCs w:val="24"/>
        </w:rPr>
        <w:t>2013ZGXT2020002</w:t>
      </w:r>
      <w:r w:rsidR="00325569" w:rsidRPr="002C0D21">
        <w:rPr>
          <w:rFonts w:ascii="Times New Roman" w:eastAsia="宋体" w:hAnsi="Times New Roman" w:cs="Times New Roman"/>
          <w:sz w:val="24"/>
          <w:szCs w:val="24"/>
        </w:rPr>
        <w:t>；</w:t>
      </w:r>
    </w:p>
    <w:p w14:paraId="12EDE2CF" w14:textId="6E44046D"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19</w:t>
      </w:r>
      <w:r w:rsidR="00325569" w:rsidRPr="002C0D21">
        <w:rPr>
          <w:rFonts w:ascii="Times New Roman" w:eastAsia="宋体" w:hAnsi="Times New Roman" w:cs="Times New Roman"/>
          <w:sz w:val="24"/>
          <w:szCs w:val="24"/>
        </w:rPr>
        <w:t>日，大唐</w:t>
      </w:r>
      <w:proofErr w:type="gramStart"/>
      <w:r w:rsidR="00325569" w:rsidRPr="002C0D21">
        <w:rPr>
          <w:rFonts w:ascii="Times New Roman" w:eastAsia="宋体" w:hAnsi="Times New Roman" w:cs="Times New Roman"/>
          <w:sz w:val="24"/>
          <w:szCs w:val="24"/>
        </w:rPr>
        <w:t>恩智浦</w:t>
      </w:r>
      <w:proofErr w:type="gramEnd"/>
      <w:r w:rsidR="00325569" w:rsidRPr="002C0D21">
        <w:rPr>
          <w:rFonts w:ascii="Times New Roman" w:eastAsia="宋体" w:hAnsi="Times New Roman" w:cs="Times New Roman"/>
          <w:sz w:val="24"/>
          <w:szCs w:val="24"/>
        </w:rPr>
        <w:t>董事会审议通过本次大唐</w:t>
      </w:r>
      <w:proofErr w:type="gramStart"/>
      <w:r w:rsidR="00325569" w:rsidRPr="002C0D21">
        <w:rPr>
          <w:rFonts w:ascii="Times New Roman" w:eastAsia="宋体" w:hAnsi="Times New Roman" w:cs="Times New Roman"/>
          <w:sz w:val="24"/>
          <w:szCs w:val="24"/>
        </w:rPr>
        <w:t>恩智浦</w:t>
      </w:r>
      <w:proofErr w:type="gramEnd"/>
      <w:r w:rsidR="00325569" w:rsidRPr="002C0D21">
        <w:rPr>
          <w:rFonts w:ascii="Times New Roman" w:eastAsia="宋体" w:hAnsi="Times New Roman" w:cs="Times New Roman"/>
          <w:sz w:val="24"/>
          <w:szCs w:val="24"/>
        </w:rPr>
        <w:t>挂牌</w:t>
      </w:r>
      <w:r w:rsidR="00325569" w:rsidRPr="002C0D21">
        <w:rPr>
          <w:rFonts w:ascii="Times New Roman" w:eastAsia="宋体" w:hAnsi="Times New Roman" w:cs="Times New Roman"/>
          <w:sz w:val="24"/>
          <w:szCs w:val="24"/>
        </w:rPr>
        <w:lastRenderedPageBreak/>
        <w:t>方案；</w:t>
      </w:r>
    </w:p>
    <w:p w14:paraId="4B22E512" w14:textId="13B8C739"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22</w:t>
      </w:r>
      <w:r w:rsidR="00325569" w:rsidRPr="002C0D21">
        <w:rPr>
          <w:rFonts w:ascii="Times New Roman" w:eastAsia="宋体" w:hAnsi="Times New Roman" w:cs="Times New Roman"/>
          <w:sz w:val="24"/>
          <w:szCs w:val="24"/>
        </w:rPr>
        <w:t>日，中国信科出具《关于江苏安防引入增资相关方案的复函》，批准江苏安防挂牌方案，</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22</w:t>
      </w:r>
      <w:r w:rsidR="00325569" w:rsidRPr="002C0D21">
        <w:rPr>
          <w:rFonts w:ascii="Times New Roman" w:eastAsia="宋体" w:hAnsi="Times New Roman" w:cs="Times New Roman"/>
          <w:sz w:val="24"/>
          <w:szCs w:val="24"/>
        </w:rPr>
        <w:t>日江苏安</w:t>
      </w:r>
      <w:proofErr w:type="gramStart"/>
      <w:r w:rsidR="00325569" w:rsidRPr="002C0D21">
        <w:rPr>
          <w:rFonts w:ascii="Times New Roman" w:eastAsia="宋体" w:hAnsi="Times New Roman" w:cs="Times New Roman"/>
          <w:sz w:val="24"/>
          <w:szCs w:val="24"/>
        </w:rPr>
        <w:t>防获得</w:t>
      </w:r>
      <w:proofErr w:type="gramEnd"/>
      <w:r w:rsidR="00325569" w:rsidRPr="002C0D21">
        <w:rPr>
          <w:rFonts w:ascii="Times New Roman" w:eastAsia="宋体" w:hAnsi="Times New Roman" w:cs="Times New Roman"/>
          <w:sz w:val="24"/>
          <w:szCs w:val="24"/>
        </w:rPr>
        <w:t>本次评估的《国有资产评估备案表》，备案号为</w:t>
      </w:r>
      <w:r w:rsidR="00325569" w:rsidRPr="002C0D21">
        <w:rPr>
          <w:rFonts w:ascii="Times New Roman" w:eastAsia="宋体" w:hAnsi="Times New Roman" w:cs="Times New Roman"/>
          <w:sz w:val="24"/>
          <w:szCs w:val="24"/>
        </w:rPr>
        <w:t>2145ZGXT2020004</w:t>
      </w:r>
      <w:r w:rsidR="00325569" w:rsidRPr="002C0D21">
        <w:rPr>
          <w:rFonts w:ascii="Times New Roman" w:eastAsia="宋体" w:hAnsi="Times New Roman" w:cs="Times New Roman"/>
          <w:sz w:val="24"/>
          <w:szCs w:val="24"/>
        </w:rPr>
        <w:t>；</w:t>
      </w:r>
    </w:p>
    <w:p w14:paraId="14BAB8C6" w14:textId="7A4932DF"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23</w:t>
      </w:r>
      <w:r w:rsidR="00325569" w:rsidRPr="002C0D21">
        <w:rPr>
          <w:rFonts w:ascii="Times New Roman" w:eastAsia="宋体" w:hAnsi="Times New Roman" w:cs="Times New Roman"/>
          <w:sz w:val="24"/>
          <w:szCs w:val="24"/>
        </w:rPr>
        <w:t>日江苏安</w:t>
      </w:r>
      <w:proofErr w:type="gramStart"/>
      <w:r w:rsidR="00325569" w:rsidRPr="002C0D21">
        <w:rPr>
          <w:rFonts w:ascii="Times New Roman" w:eastAsia="宋体" w:hAnsi="Times New Roman" w:cs="Times New Roman"/>
          <w:sz w:val="24"/>
          <w:szCs w:val="24"/>
        </w:rPr>
        <w:t>防股东</w:t>
      </w:r>
      <w:proofErr w:type="gramEnd"/>
      <w:r w:rsidR="00325569" w:rsidRPr="002C0D21">
        <w:rPr>
          <w:rFonts w:ascii="Times New Roman" w:eastAsia="宋体" w:hAnsi="Times New Roman" w:cs="Times New Roman"/>
          <w:sz w:val="24"/>
          <w:szCs w:val="24"/>
        </w:rPr>
        <w:t>会审议通过本次江苏安防挂牌方案；</w:t>
      </w:r>
    </w:p>
    <w:p w14:paraId="5A4F3BD3" w14:textId="381CA8D6"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6</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23</w:t>
      </w:r>
      <w:r w:rsidR="00325569" w:rsidRPr="002C0D21">
        <w:rPr>
          <w:rFonts w:ascii="Times New Roman" w:eastAsia="宋体" w:hAnsi="Times New Roman" w:cs="Times New Roman"/>
          <w:sz w:val="24"/>
          <w:szCs w:val="24"/>
        </w:rPr>
        <w:t>日，大唐电信召开第七届董事会第四十九次会议，审议通过本次重组预案及相关议案；</w:t>
      </w:r>
    </w:p>
    <w:p w14:paraId="2CB6FAD3" w14:textId="344E87C2"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6</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7</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28</w:t>
      </w:r>
      <w:r w:rsidR="00325569" w:rsidRPr="002C0D21">
        <w:rPr>
          <w:rFonts w:ascii="Times New Roman" w:eastAsia="宋体" w:hAnsi="Times New Roman" w:cs="Times New Roman"/>
          <w:sz w:val="24"/>
          <w:szCs w:val="24"/>
        </w:rPr>
        <w:t>日，中国信科出具《关于对宸芯科技部分股权实施挂牌转让相关方案的复函》，批准</w:t>
      </w:r>
      <w:proofErr w:type="gramStart"/>
      <w:r w:rsidR="00325569" w:rsidRPr="002C0D21">
        <w:rPr>
          <w:rFonts w:ascii="Times New Roman" w:eastAsia="宋体" w:hAnsi="Times New Roman" w:cs="Times New Roman"/>
          <w:sz w:val="24"/>
          <w:szCs w:val="24"/>
        </w:rPr>
        <w:t>宸芯科技</w:t>
      </w:r>
      <w:proofErr w:type="gramEnd"/>
      <w:r w:rsidR="00325569" w:rsidRPr="002C0D21">
        <w:rPr>
          <w:rFonts w:ascii="Times New Roman" w:eastAsia="宋体" w:hAnsi="Times New Roman" w:cs="Times New Roman"/>
          <w:sz w:val="24"/>
          <w:szCs w:val="24"/>
        </w:rPr>
        <w:t>挂牌方案，</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7</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28</w:t>
      </w:r>
      <w:r w:rsidR="00325569" w:rsidRPr="002C0D21">
        <w:rPr>
          <w:rFonts w:ascii="Times New Roman" w:eastAsia="宋体" w:hAnsi="Times New Roman" w:cs="Times New Roman"/>
          <w:sz w:val="24"/>
          <w:szCs w:val="24"/>
        </w:rPr>
        <w:t>日，</w:t>
      </w:r>
      <w:proofErr w:type="gramStart"/>
      <w:r w:rsidR="00325569" w:rsidRPr="002C0D21">
        <w:rPr>
          <w:rFonts w:ascii="Times New Roman" w:eastAsia="宋体" w:hAnsi="Times New Roman" w:cs="Times New Roman"/>
          <w:sz w:val="24"/>
          <w:szCs w:val="24"/>
        </w:rPr>
        <w:t>宸芯科技</w:t>
      </w:r>
      <w:proofErr w:type="gramEnd"/>
      <w:r w:rsidR="00325569" w:rsidRPr="002C0D21">
        <w:rPr>
          <w:rFonts w:ascii="Times New Roman" w:eastAsia="宋体" w:hAnsi="Times New Roman" w:cs="Times New Roman"/>
          <w:sz w:val="24"/>
          <w:szCs w:val="24"/>
        </w:rPr>
        <w:t>获得本次评估的《国有资产评估备案表》，备案号为</w:t>
      </w:r>
      <w:r w:rsidR="00325569" w:rsidRPr="002C0D21">
        <w:rPr>
          <w:rFonts w:ascii="Times New Roman" w:eastAsia="宋体" w:hAnsi="Times New Roman" w:cs="Times New Roman"/>
          <w:sz w:val="24"/>
          <w:szCs w:val="24"/>
        </w:rPr>
        <w:t>2756ZGXT2020007</w:t>
      </w:r>
      <w:r w:rsidR="00325569" w:rsidRPr="002C0D21">
        <w:rPr>
          <w:rFonts w:ascii="Times New Roman" w:eastAsia="宋体" w:hAnsi="Times New Roman" w:cs="Times New Roman"/>
          <w:sz w:val="24"/>
          <w:szCs w:val="24"/>
        </w:rPr>
        <w:t>；</w:t>
      </w:r>
    </w:p>
    <w:p w14:paraId="02C13D15" w14:textId="75869D6A"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7</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7</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29</w:t>
      </w:r>
      <w:r w:rsidR="00325569" w:rsidRPr="002C0D21">
        <w:rPr>
          <w:rFonts w:ascii="Times New Roman" w:eastAsia="宋体" w:hAnsi="Times New Roman" w:cs="Times New Roman"/>
          <w:sz w:val="24"/>
          <w:szCs w:val="24"/>
        </w:rPr>
        <w:t>日，大唐电信召开第七届董事会第五十次会议，审议通过调整本次重组预案及相关议案；</w:t>
      </w:r>
    </w:p>
    <w:p w14:paraId="4A510C98" w14:textId="0A1A1373"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8</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7</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31</w:t>
      </w:r>
      <w:r w:rsidR="00325569" w:rsidRPr="002C0D21">
        <w:rPr>
          <w:rFonts w:ascii="Times New Roman" w:eastAsia="宋体" w:hAnsi="Times New Roman" w:cs="Times New Roman"/>
          <w:sz w:val="24"/>
          <w:szCs w:val="24"/>
        </w:rPr>
        <w:t>日，</w:t>
      </w:r>
      <w:proofErr w:type="gramStart"/>
      <w:r w:rsidR="00325569" w:rsidRPr="002C0D21">
        <w:rPr>
          <w:rFonts w:ascii="Times New Roman" w:eastAsia="宋体" w:hAnsi="Times New Roman" w:cs="Times New Roman"/>
          <w:sz w:val="24"/>
          <w:szCs w:val="24"/>
        </w:rPr>
        <w:t>宸芯科技</w:t>
      </w:r>
      <w:proofErr w:type="gramEnd"/>
      <w:r w:rsidR="00325569" w:rsidRPr="002C0D21">
        <w:rPr>
          <w:rFonts w:ascii="Times New Roman" w:eastAsia="宋体" w:hAnsi="Times New Roman" w:cs="Times New Roman"/>
          <w:sz w:val="24"/>
          <w:szCs w:val="24"/>
        </w:rPr>
        <w:t>股东会审议通过关于</w:t>
      </w:r>
      <w:proofErr w:type="gramStart"/>
      <w:r w:rsidR="00325569" w:rsidRPr="002C0D21">
        <w:rPr>
          <w:rFonts w:ascii="Times New Roman" w:eastAsia="宋体" w:hAnsi="Times New Roman" w:cs="Times New Roman"/>
          <w:sz w:val="24"/>
          <w:szCs w:val="24"/>
        </w:rPr>
        <w:t>宸芯科技</w:t>
      </w:r>
      <w:proofErr w:type="gramEnd"/>
      <w:r w:rsidR="00325569" w:rsidRPr="002C0D21">
        <w:rPr>
          <w:rFonts w:ascii="Times New Roman" w:eastAsia="宋体" w:hAnsi="Times New Roman" w:cs="Times New Roman"/>
          <w:sz w:val="24"/>
          <w:szCs w:val="24"/>
        </w:rPr>
        <w:t>部分股权转让项目决议；</w:t>
      </w:r>
    </w:p>
    <w:p w14:paraId="225D0561" w14:textId="44884F69"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大唐</w:t>
      </w:r>
      <w:proofErr w:type="gramStart"/>
      <w:r w:rsidR="00325569" w:rsidRPr="002C0D21">
        <w:rPr>
          <w:rFonts w:ascii="Times New Roman" w:eastAsia="宋体" w:hAnsi="Times New Roman" w:cs="Times New Roman"/>
          <w:sz w:val="24"/>
          <w:szCs w:val="24"/>
        </w:rPr>
        <w:t>恩智浦及</w:t>
      </w:r>
      <w:proofErr w:type="gramEnd"/>
      <w:r w:rsidR="00325569" w:rsidRPr="002C0D21">
        <w:rPr>
          <w:rFonts w:ascii="Times New Roman" w:eastAsia="宋体" w:hAnsi="Times New Roman" w:cs="Times New Roman"/>
          <w:sz w:val="24"/>
          <w:szCs w:val="24"/>
        </w:rPr>
        <w:t>江苏安</w:t>
      </w:r>
      <w:proofErr w:type="gramStart"/>
      <w:r w:rsidR="00325569" w:rsidRPr="002C0D21">
        <w:rPr>
          <w:rFonts w:ascii="Times New Roman" w:eastAsia="宋体" w:hAnsi="Times New Roman" w:cs="Times New Roman"/>
          <w:sz w:val="24"/>
          <w:szCs w:val="24"/>
        </w:rPr>
        <w:t>防分别</w:t>
      </w:r>
      <w:proofErr w:type="gramEnd"/>
      <w:r w:rsidR="00325569" w:rsidRPr="002C0D21">
        <w:rPr>
          <w:rFonts w:ascii="Times New Roman" w:eastAsia="宋体" w:hAnsi="Times New Roman" w:cs="Times New Roman"/>
          <w:sz w:val="24"/>
          <w:szCs w:val="24"/>
        </w:rPr>
        <w:t>于</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8</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25</w:t>
      </w:r>
      <w:r w:rsidR="00325569" w:rsidRPr="002C0D21">
        <w:rPr>
          <w:rFonts w:ascii="Times New Roman" w:eastAsia="宋体" w:hAnsi="Times New Roman" w:cs="Times New Roman"/>
          <w:sz w:val="24"/>
          <w:szCs w:val="24"/>
        </w:rPr>
        <w:t>日和</w:t>
      </w:r>
      <w:r w:rsidR="00325569" w:rsidRPr="002C0D21">
        <w:rPr>
          <w:rFonts w:ascii="Times New Roman" w:eastAsia="宋体" w:hAnsi="Times New Roman" w:cs="Times New Roman"/>
          <w:sz w:val="24"/>
          <w:szCs w:val="24"/>
        </w:rPr>
        <w:t>8</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31</w:t>
      </w:r>
      <w:r w:rsidR="00325569" w:rsidRPr="002C0D21">
        <w:rPr>
          <w:rFonts w:ascii="Times New Roman" w:eastAsia="宋体" w:hAnsi="Times New Roman" w:cs="Times New Roman"/>
          <w:sz w:val="24"/>
          <w:szCs w:val="24"/>
        </w:rPr>
        <w:t>日召开董事会和股东会确定增资方，并分别于</w:t>
      </w:r>
      <w:r w:rsidR="00325569" w:rsidRPr="002C0D21">
        <w:rPr>
          <w:rFonts w:ascii="Times New Roman" w:eastAsia="宋体" w:hAnsi="Times New Roman" w:cs="Times New Roman"/>
          <w:sz w:val="24"/>
          <w:szCs w:val="24"/>
        </w:rPr>
        <w:t>8</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28</w:t>
      </w:r>
      <w:r w:rsidR="00325569" w:rsidRPr="002C0D21">
        <w:rPr>
          <w:rFonts w:ascii="Times New Roman" w:eastAsia="宋体" w:hAnsi="Times New Roman" w:cs="Times New Roman"/>
          <w:sz w:val="24"/>
          <w:szCs w:val="24"/>
        </w:rPr>
        <w:t>日及</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3</w:t>
      </w:r>
      <w:r w:rsidR="00325569" w:rsidRPr="002C0D21">
        <w:rPr>
          <w:rFonts w:ascii="Times New Roman" w:eastAsia="宋体" w:hAnsi="Times New Roman" w:cs="Times New Roman"/>
          <w:sz w:val="24"/>
          <w:szCs w:val="24"/>
        </w:rPr>
        <w:t>日与增资方签订附条件生效的增资协议；</w:t>
      </w:r>
    </w:p>
    <w:p w14:paraId="65A422C4" w14:textId="54E1B700"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w:t>
      </w:r>
      <w:proofErr w:type="gramStart"/>
      <w:r w:rsidR="00325569" w:rsidRPr="002C0D21">
        <w:rPr>
          <w:rFonts w:ascii="Times New Roman" w:eastAsia="宋体" w:hAnsi="Times New Roman" w:cs="Times New Roman"/>
          <w:sz w:val="24"/>
          <w:szCs w:val="24"/>
        </w:rPr>
        <w:t>宸芯科技</w:t>
      </w:r>
      <w:proofErr w:type="gramEnd"/>
      <w:r w:rsidR="00325569" w:rsidRPr="002C0D21">
        <w:rPr>
          <w:rFonts w:ascii="Times New Roman" w:eastAsia="宋体" w:hAnsi="Times New Roman" w:cs="Times New Roman"/>
          <w:sz w:val="24"/>
          <w:szCs w:val="24"/>
        </w:rPr>
        <w:t>于</w:t>
      </w:r>
      <w:r w:rsidR="00325569" w:rsidRPr="002C0D21">
        <w:rPr>
          <w:rFonts w:ascii="Times New Roman" w:eastAsia="宋体" w:hAnsi="Times New Roman" w:cs="Times New Roman"/>
          <w:sz w:val="24"/>
          <w:szCs w:val="24"/>
        </w:rPr>
        <w:t>8</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28</w:t>
      </w:r>
      <w:r w:rsidR="00325569" w:rsidRPr="002C0D21">
        <w:rPr>
          <w:rFonts w:ascii="Times New Roman" w:eastAsia="宋体" w:hAnsi="Times New Roman" w:cs="Times New Roman"/>
          <w:sz w:val="24"/>
          <w:szCs w:val="24"/>
        </w:rPr>
        <w:t>日，于北京产权交易所摘牌，本次附条件生效的股权受让协议于</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3</w:t>
      </w:r>
      <w:r w:rsidR="00325569" w:rsidRPr="002C0D21">
        <w:rPr>
          <w:rFonts w:ascii="Times New Roman" w:eastAsia="宋体" w:hAnsi="Times New Roman" w:cs="Times New Roman"/>
          <w:sz w:val="24"/>
          <w:szCs w:val="24"/>
        </w:rPr>
        <w:t>日签订；</w:t>
      </w:r>
    </w:p>
    <w:p w14:paraId="64D6B2CF" w14:textId="72366A91"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2C0D21">
        <w:rPr>
          <w:rFonts w:ascii="Times New Roman" w:eastAsia="宋体" w:hAnsi="Times New Roman" w:cs="Times New Roman"/>
          <w:sz w:val="24"/>
          <w:szCs w:val="24"/>
        </w:rPr>
        <w:t>1</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3</w:t>
      </w:r>
      <w:r w:rsidR="00325569" w:rsidRPr="002C0D21">
        <w:rPr>
          <w:rFonts w:ascii="Times New Roman" w:eastAsia="宋体" w:hAnsi="Times New Roman" w:cs="Times New Roman"/>
          <w:sz w:val="24"/>
          <w:szCs w:val="24"/>
        </w:rPr>
        <w:t>日，中国信科出具《关于大唐恩智浦引入增资方并实施方案请示的复函》与《关于江苏安防引入增资方并实施方案请示的复函》，审议通过大唐</w:t>
      </w:r>
      <w:proofErr w:type="gramStart"/>
      <w:r w:rsidR="00325569" w:rsidRPr="002C0D21">
        <w:rPr>
          <w:rFonts w:ascii="Times New Roman" w:eastAsia="宋体" w:hAnsi="Times New Roman" w:cs="Times New Roman"/>
          <w:sz w:val="24"/>
          <w:szCs w:val="24"/>
        </w:rPr>
        <w:t>恩智浦及</w:t>
      </w:r>
      <w:proofErr w:type="gramEnd"/>
      <w:r w:rsidR="00325569" w:rsidRPr="002C0D21">
        <w:rPr>
          <w:rFonts w:ascii="Times New Roman" w:eastAsia="宋体" w:hAnsi="Times New Roman" w:cs="Times New Roman"/>
          <w:sz w:val="24"/>
          <w:szCs w:val="24"/>
        </w:rPr>
        <w:t>江苏安防增资正式方案；</w:t>
      </w:r>
    </w:p>
    <w:p w14:paraId="1B96A7D6" w14:textId="2CA32846" w:rsidR="00325569"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2C0D21">
        <w:rPr>
          <w:rFonts w:ascii="Times New Roman" w:eastAsia="宋体" w:hAnsi="Times New Roman" w:cs="Times New Roman"/>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4</w:t>
      </w:r>
      <w:r w:rsidR="00325569" w:rsidRPr="002C0D21">
        <w:rPr>
          <w:rFonts w:ascii="Times New Roman" w:eastAsia="宋体" w:hAnsi="Times New Roman" w:cs="Times New Roman"/>
          <w:sz w:val="24"/>
          <w:szCs w:val="24"/>
        </w:rPr>
        <w:t>日，大唐电信召开第七届董事会第五十二次会议，审议通过本次重组草案及相关议案。</w:t>
      </w:r>
    </w:p>
    <w:p w14:paraId="0B17A7B4" w14:textId="0A4CD8FA" w:rsidR="00797D7A" w:rsidRPr="002C0D21" w:rsidRDefault="00D352BB" w:rsidP="00325569">
      <w:pPr>
        <w:spacing w:beforeLines="50" w:before="156" w:afterLines="50" w:after="156" w:line="360" w:lineRule="auto"/>
        <w:ind w:firstLineChars="200" w:firstLine="480"/>
        <w:rPr>
          <w:rFonts w:ascii="Times New Roman" w:eastAsia="宋体" w:hAnsi="Times New Roman" w:cs="Times New Roman"/>
          <w:sz w:val="24"/>
          <w:szCs w:val="24"/>
          <w:highlight w:val="cyan"/>
        </w:rPr>
      </w:pPr>
      <w:r>
        <w:rPr>
          <w:rFonts w:ascii="Times New Roman" w:eastAsia="宋体" w:hAnsi="Times New Roman" w:cs="Times New Roman" w:hint="eastAsia"/>
          <w:sz w:val="24"/>
          <w:szCs w:val="24"/>
        </w:rPr>
        <w:t>（</w:t>
      </w:r>
      <w:r w:rsidRPr="002C0D21">
        <w:rPr>
          <w:rFonts w:ascii="Times New Roman" w:eastAsia="宋体" w:hAnsi="Times New Roman" w:cs="Times New Roman"/>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w:t>
      </w:r>
      <w:r w:rsidR="00325569" w:rsidRPr="002C0D21">
        <w:rPr>
          <w:rFonts w:ascii="Times New Roman" w:eastAsia="宋体" w:hAnsi="Times New Roman" w:cs="Times New Roman"/>
          <w:sz w:val="24"/>
          <w:szCs w:val="24"/>
        </w:rPr>
        <w:t>9</w:t>
      </w:r>
      <w:r w:rsidR="00325569" w:rsidRPr="002C0D21">
        <w:rPr>
          <w:rFonts w:ascii="Times New Roman" w:eastAsia="宋体" w:hAnsi="Times New Roman" w:cs="Times New Roman"/>
          <w:sz w:val="24"/>
          <w:szCs w:val="24"/>
        </w:rPr>
        <w:t>月</w:t>
      </w:r>
      <w:r w:rsidR="00325569" w:rsidRPr="002C0D21">
        <w:rPr>
          <w:rFonts w:ascii="Times New Roman" w:eastAsia="宋体" w:hAnsi="Times New Roman" w:cs="Times New Roman"/>
          <w:sz w:val="24"/>
          <w:szCs w:val="24"/>
        </w:rPr>
        <w:t>21</w:t>
      </w:r>
      <w:r w:rsidR="00325569" w:rsidRPr="002C0D21">
        <w:rPr>
          <w:rFonts w:ascii="Times New Roman" w:eastAsia="宋体" w:hAnsi="Times New Roman" w:cs="Times New Roman"/>
          <w:sz w:val="24"/>
          <w:szCs w:val="24"/>
        </w:rPr>
        <w:t>日，大唐电信召开</w:t>
      </w:r>
      <w:r w:rsidR="00325569" w:rsidRPr="002C0D21">
        <w:rPr>
          <w:rFonts w:ascii="Times New Roman" w:eastAsia="宋体" w:hAnsi="Times New Roman" w:cs="Times New Roman"/>
          <w:sz w:val="24"/>
          <w:szCs w:val="24"/>
        </w:rPr>
        <w:t>2020</w:t>
      </w:r>
      <w:r w:rsidR="00325569" w:rsidRPr="002C0D21">
        <w:rPr>
          <w:rFonts w:ascii="Times New Roman" w:eastAsia="宋体" w:hAnsi="Times New Roman" w:cs="Times New Roman"/>
          <w:sz w:val="24"/>
          <w:szCs w:val="24"/>
        </w:rPr>
        <w:t>年第四次临时股东大会，审议通过本次重组草案及相关议案。</w:t>
      </w:r>
    </w:p>
    <w:p w14:paraId="1D312EB9" w14:textId="79A7D642" w:rsidR="00797D7A" w:rsidRPr="007D16DB" w:rsidRDefault="00D352BB" w:rsidP="007D16DB">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lastRenderedPageBreak/>
        <w:t>2、</w:t>
      </w:r>
      <w:r w:rsidR="00797D7A" w:rsidRPr="007D16DB">
        <w:rPr>
          <w:rFonts w:ascii="宋体" w:eastAsia="宋体" w:hAnsi="宋体" w:hint="eastAsia"/>
          <w:b/>
          <w:bCs/>
          <w:sz w:val="24"/>
          <w:szCs w:val="24"/>
        </w:rPr>
        <w:t>本次交易尚需履行的决策程序</w:t>
      </w:r>
    </w:p>
    <w:p w14:paraId="3810E131" w14:textId="68605008" w:rsidR="00325569" w:rsidRPr="002C0D21" w:rsidRDefault="00325569" w:rsidP="00325569">
      <w:pPr>
        <w:spacing w:beforeLines="50" w:before="156" w:afterLines="50" w:after="156" w:line="360" w:lineRule="auto"/>
        <w:ind w:firstLineChars="200" w:firstLine="480"/>
        <w:rPr>
          <w:rFonts w:ascii="宋体" w:eastAsia="宋体" w:hAnsi="宋体"/>
          <w:sz w:val="24"/>
          <w:szCs w:val="24"/>
          <w:highlight w:val="cyan"/>
        </w:rPr>
      </w:pPr>
      <w:r w:rsidRPr="002C0D21">
        <w:rPr>
          <w:rFonts w:ascii="宋体" w:eastAsia="宋体" w:hAnsi="宋体" w:hint="eastAsia"/>
          <w:sz w:val="24"/>
          <w:szCs w:val="24"/>
        </w:rPr>
        <w:t>本次交易已经获得必要的批准和授权，无尚需履行的审批程序。</w:t>
      </w:r>
    </w:p>
    <w:p w14:paraId="70F2584E" w14:textId="2F7FF259" w:rsidR="00325569"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六</w:t>
      </w:r>
      <w:r w:rsidRPr="002C0D21">
        <w:rPr>
          <w:rFonts w:ascii="宋体" w:eastAsia="宋体" w:hAnsi="宋体"/>
          <w:b/>
          <w:bCs/>
          <w:sz w:val="24"/>
          <w:szCs w:val="24"/>
        </w:rPr>
        <w:t>）</w:t>
      </w:r>
      <w:r w:rsidRPr="002C0D21">
        <w:rPr>
          <w:rFonts w:ascii="宋体" w:eastAsia="宋体" w:hAnsi="宋体"/>
          <w:b/>
          <w:bCs/>
          <w:sz w:val="24"/>
          <w:szCs w:val="24"/>
        </w:rPr>
        <w:tab/>
      </w:r>
      <w:r w:rsidR="00A00E78" w:rsidRPr="007D16DB">
        <w:rPr>
          <w:rFonts w:ascii="宋体" w:eastAsia="宋体" w:hAnsi="宋体" w:hint="eastAsia"/>
          <w:b/>
          <w:bCs/>
          <w:sz w:val="24"/>
          <w:szCs w:val="24"/>
        </w:rPr>
        <w:t>本次交易的实施情况</w:t>
      </w:r>
    </w:p>
    <w:p w14:paraId="594677FB" w14:textId="5ED55FBE" w:rsidR="00325569" w:rsidRPr="007D16DB" w:rsidRDefault="00D352BB" w:rsidP="007D16DB">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1、</w:t>
      </w:r>
      <w:r w:rsidR="00325569" w:rsidRPr="007D16DB">
        <w:rPr>
          <w:rFonts w:ascii="宋体" w:eastAsia="宋体" w:hAnsi="宋体" w:hint="eastAsia"/>
          <w:b/>
          <w:bCs/>
          <w:sz w:val="24"/>
          <w:szCs w:val="24"/>
        </w:rPr>
        <w:t>标的资产过户情况</w:t>
      </w:r>
    </w:p>
    <w:p w14:paraId="7363F19F" w14:textId="501DD322"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截至本</w:t>
      </w:r>
      <w:r w:rsidR="009C2B39">
        <w:rPr>
          <w:rFonts w:ascii="Times New Roman" w:eastAsia="宋体" w:hAnsi="Times New Roman" w:cs="Times New Roman" w:hint="eastAsia"/>
          <w:sz w:val="24"/>
          <w:szCs w:val="24"/>
        </w:rPr>
        <w:t>报告书</w:t>
      </w:r>
      <w:r w:rsidRPr="002C0D21">
        <w:rPr>
          <w:rFonts w:ascii="Times New Roman" w:eastAsia="宋体" w:hAnsi="Times New Roman" w:cs="Times New Roman"/>
          <w:sz w:val="24"/>
          <w:szCs w:val="24"/>
        </w:rPr>
        <w:t>出具日，大唐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、江苏安防与</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均已办理完毕相应工商变更登记手续。</w:t>
      </w:r>
    </w:p>
    <w:p w14:paraId="2FB0A02B" w14:textId="5B062995"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30</w:t>
      </w:r>
      <w:r w:rsidRPr="002C0D21">
        <w:rPr>
          <w:rFonts w:ascii="Times New Roman" w:eastAsia="宋体" w:hAnsi="Times New Roman" w:cs="Times New Roman"/>
          <w:sz w:val="24"/>
          <w:szCs w:val="24"/>
        </w:rPr>
        <w:t>日，大唐</w:t>
      </w:r>
      <w:proofErr w:type="gramStart"/>
      <w:r w:rsidRPr="002C0D21">
        <w:rPr>
          <w:rFonts w:ascii="Times New Roman" w:eastAsia="宋体" w:hAnsi="Times New Roman" w:cs="Times New Roman"/>
          <w:sz w:val="24"/>
          <w:szCs w:val="24"/>
        </w:rPr>
        <w:t>恩智浦办理</w:t>
      </w:r>
      <w:proofErr w:type="gramEnd"/>
      <w:r w:rsidRPr="002C0D21">
        <w:rPr>
          <w:rFonts w:ascii="Times New Roman" w:eastAsia="宋体" w:hAnsi="Times New Roman" w:cs="Times New Roman"/>
          <w:sz w:val="24"/>
          <w:szCs w:val="24"/>
        </w:rPr>
        <w:t>完毕本次大唐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增资扩股的工商变更登记手续，并取得如东县市场监督管理局核发的变更后的《营业执照》。根据大唐</w:t>
      </w:r>
      <w:proofErr w:type="gramStart"/>
      <w:r w:rsidRPr="002C0D21">
        <w:rPr>
          <w:rFonts w:ascii="Times New Roman" w:eastAsia="宋体" w:hAnsi="Times New Roman" w:cs="Times New Roman"/>
          <w:sz w:val="24"/>
          <w:szCs w:val="24"/>
        </w:rPr>
        <w:t>恩智浦提供</w:t>
      </w:r>
      <w:proofErr w:type="gramEnd"/>
      <w:r w:rsidRPr="002C0D21">
        <w:rPr>
          <w:rFonts w:ascii="Times New Roman" w:eastAsia="宋体" w:hAnsi="Times New Roman" w:cs="Times New Roman"/>
          <w:sz w:val="24"/>
          <w:szCs w:val="24"/>
        </w:rPr>
        <w:t>的经大唐半导体、</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、徐州汽车基金于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8</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28</w:t>
      </w:r>
      <w:r w:rsidRPr="002C0D21">
        <w:rPr>
          <w:rFonts w:ascii="Times New Roman" w:eastAsia="宋体" w:hAnsi="Times New Roman" w:cs="Times New Roman"/>
          <w:sz w:val="24"/>
          <w:szCs w:val="24"/>
        </w:rPr>
        <w:t>日签署的《大唐恩智浦半导体有限公司第二次修订并重述章程》，其股东及股权结构的基本情况如下表：</w:t>
      </w:r>
    </w:p>
    <w:tbl>
      <w:tblPr>
        <w:tblW w:w="5000" w:type="pct"/>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5"/>
        <w:gridCol w:w="3269"/>
        <w:gridCol w:w="2412"/>
        <w:gridCol w:w="1670"/>
      </w:tblGrid>
      <w:tr w:rsidR="00325569" w:rsidRPr="002C0D21" w14:paraId="0B0FFCC7" w14:textId="77777777" w:rsidTr="002C0D21">
        <w:trPr>
          <w:trHeight w:val="442"/>
        </w:trPr>
        <w:tc>
          <w:tcPr>
            <w:tcW w:w="559" w:type="pct"/>
            <w:shd w:val="clear" w:color="auto" w:fill="auto"/>
            <w:vAlign w:val="center"/>
          </w:tcPr>
          <w:p w14:paraId="6DA19FB7" w14:textId="77777777" w:rsidR="00325569" w:rsidRPr="002C0D21" w:rsidRDefault="00325569" w:rsidP="002C0D21">
            <w:pPr>
              <w:snapToGrid w:val="0"/>
              <w:jc w:val="center"/>
              <w:rPr>
                <w:rFonts w:ascii="Times New Roman" w:eastAsia="宋体" w:hAnsi="Times New Roman" w:cs="Times New Roman"/>
                <w:b/>
                <w:szCs w:val="21"/>
              </w:rPr>
            </w:pPr>
            <w:r w:rsidRPr="002C0D21">
              <w:rPr>
                <w:rFonts w:ascii="Times New Roman" w:eastAsia="宋体" w:hAnsi="Times New Roman" w:cs="Times New Roman"/>
                <w:b/>
                <w:szCs w:val="21"/>
              </w:rPr>
              <w:t>序号</w:t>
            </w:r>
          </w:p>
        </w:tc>
        <w:tc>
          <w:tcPr>
            <w:tcW w:w="1975" w:type="pct"/>
            <w:shd w:val="clear" w:color="auto" w:fill="auto"/>
            <w:vAlign w:val="center"/>
          </w:tcPr>
          <w:p w14:paraId="6C791275" w14:textId="77777777" w:rsidR="00325569" w:rsidRPr="002C0D21" w:rsidRDefault="00325569" w:rsidP="002C0D21">
            <w:pPr>
              <w:snapToGrid w:val="0"/>
              <w:jc w:val="center"/>
              <w:rPr>
                <w:rFonts w:ascii="Times New Roman" w:eastAsia="宋体" w:hAnsi="Times New Roman" w:cs="Times New Roman"/>
                <w:b/>
                <w:szCs w:val="21"/>
              </w:rPr>
            </w:pPr>
            <w:r w:rsidRPr="002C0D21">
              <w:rPr>
                <w:rFonts w:ascii="Times New Roman" w:eastAsia="宋体" w:hAnsi="Times New Roman" w:cs="Times New Roman"/>
                <w:b/>
                <w:szCs w:val="21"/>
              </w:rPr>
              <w:t>股东名称</w:t>
            </w:r>
          </w:p>
        </w:tc>
        <w:tc>
          <w:tcPr>
            <w:tcW w:w="1457" w:type="pct"/>
            <w:shd w:val="clear" w:color="auto" w:fill="auto"/>
            <w:vAlign w:val="center"/>
          </w:tcPr>
          <w:p w14:paraId="7BC610C1" w14:textId="77777777" w:rsidR="00325569" w:rsidRPr="002C0D21" w:rsidRDefault="00325569" w:rsidP="002C0D21">
            <w:pPr>
              <w:snapToGrid w:val="0"/>
              <w:jc w:val="center"/>
              <w:rPr>
                <w:rFonts w:ascii="Times New Roman" w:eastAsia="宋体" w:hAnsi="Times New Roman" w:cs="Times New Roman"/>
                <w:b/>
                <w:szCs w:val="21"/>
              </w:rPr>
            </w:pPr>
            <w:r w:rsidRPr="002C0D21">
              <w:rPr>
                <w:rFonts w:ascii="Times New Roman" w:eastAsia="宋体" w:hAnsi="Times New Roman" w:cs="Times New Roman"/>
                <w:b/>
                <w:szCs w:val="21"/>
              </w:rPr>
              <w:t>出资额</w:t>
            </w:r>
            <w:r w:rsidRPr="002C0D21">
              <w:rPr>
                <w:rFonts w:ascii="Times New Roman" w:eastAsia="宋体" w:hAnsi="Times New Roman" w:cs="Times New Roman"/>
                <w:b/>
                <w:szCs w:val="21"/>
              </w:rPr>
              <w:t>(</w:t>
            </w:r>
            <w:r w:rsidRPr="002C0D21">
              <w:rPr>
                <w:rFonts w:ascii="Times New Roman" w:eastAsia="宋体" w:hAnsi="Times New Roman" w:cs="Times New Roman"/>
                <w:b/>
                <w:szCs w:val="21"/>
              </w:rPr>
              <w:t>万美元</w:t>
            </w:r>
            <w:r w:rsidRPr="002C0D21">
              <w:rPr>
                <w:rFonts w:ascii="Times New Roman" w:eastAsia="宋体" w:hAnsi="Times New Roman" w:cs="Times New Roman"/>
                <w:b/>
                <w:szCs w:val="21"/>
              </w:rPr>
              <w:t>)</w:t>
            </w:r>
          </w:p>
        </w:tc>
        <w:tc>
          <w:tcPr>
            <w:tcW w:w="1009" w:type="pct"/>
            <w:shd w:val="clear" w:color="auto" w:fill="auto"/>
            <w:vAlign w:val="center"/>
          </w:tcPr>
          <w:p w14:paraId="787DBEDC" w14:textId="77777777" w:rsidR="00325569" w:rsidRPr="002C0D21" w:rsidRDefault="00325569" w:rsidP="002C0D21">
            <w:pPr>
              <w:snapToGrid w:val="0"/>
              <w:jc w:val="center"/>
              <w:rPr>
                <w:rFonts w:ascii="Times New Roman" w:eastAsia="宋体" w:hAnsi="Times New Roman" w:cs="Times New Roman"/>
                <w:b/>
                <w:szCs w:val="21"/>
              </w:rPr>
            </w:pPr>
            <w:r w:rsidRPr="002C0D21">
              <w:rPr>
                <w:rFonts w:ascii="Times New Roman" w:eastAsia="宋体" w:hAnsi="Times New Roman" w:cs="Times New Roman"/>
                <w:b/>
                <w:szCs w:val="21"/>
              </w:rPr>
              <w:t>出资比例</w:t>
            </w:r>
          </w:p>
        </w:tc>
      </w:tr>
      <w:tr w:rsidR="00325569" w:rsidRPr="002C0D21" w14:paraId="22F9DBAF" w14:textId="77777777" w:rsidTr="002C0D21">
        <w:tc>
          <w:tcPr>
            <w:tcW w:w="559" w:type="pct"/>
            <w:shd w:val="clear" w:color="auto" w:fill="auto"/>
            <w:vAlign w:val="center"/>
          </w:tcPr>
          <w:p w14:paraId="7F6125B2" w14:textId="77777777" w:rsidR="00325569" w:rsidRPr="002C0D21" w:rsidRDefault="00325569" w:rsidP="002C0D21">
            <w:pPr>
              <w:snapToGrid w:val="0"/>
              <w:jc w:val="center"/>
              <w:rPr>
                <w:rFonts w:ascii="Times New Roman" w:eastAsia="宋体" w:hAnsi="Times New Roman" w:cs="Times New Roman"/>
                <w:szCs w:val="21"/>
              </w:rPr>
            </w:pPr>
            <w:r w:rsidRPr="002C0D21">
              <w:rPr>
                <w:rFonts w:ascii="Times New Roman" w:eastAsia="宋体" w:hAnsi="Times New Roman" w:cs="Times New Roman"/>
                <w:szCs w:val="21"/>
              </w:rPr>
              <w:t>1</w:t>
            </w:r>
          </w:p>
        </w:tc>
        <w:tc>
          <w:tcPr>
            <w:tcW w:w="1975" w:type="pct"/>
            <w:shd w:val="clear" w:color="auto" w:fill="auto"/>
            <w:vAlign w:val="center"/>
          </w:tcPr>
          <w:p w14:paraId="4CF021D6" w14:textId="77777777" w:rsidR="00325569" w:rsidRPr="002C0D21" w:rsidRDefault="00325569" w:rsidP="00D22EFC">
            <w:pPr>
              <w:jc w:val="left"/>
              <w:rPr>
                <w:rFonts w:ascii="Times New Roman" w:eastAsia="宋体" w:hAnsi="Times New Roman" w:cs="Times New Roman"/>
                <w:szCs w:val="21"/>
              </w:rPr>
            </w:pPr>
            <w:r w:rsidRPr="002C0D21">
              <w:rPr>
                <w:rFonts w:ascii="Times New Roman" w:eastAsia="宋体" w:hAnsi="Times New Roman" w:cs="Times New Roman"/>
                <w:szCs w:val="21"/>
              </w:rPr>
              <w:t>大唐半导体</w:t>
            </w:r>
          </w:p>
        </w:tc>
        <w:tc>
          <w:tcPr>
            <w:tcW w:w="1457" w:type="pct"/>
            <w:shd w:val="clear" w:color="auto" w:fill="auto"/>
            <w:vAlign w:val="center"/>
          </w:tcPr>
          <w:p w14:paraId="334EF878" w14:textId="77777777" w:rsidR="00325569" w:rsidRPr="002C0D21" w:rsidRDefault="00325569" w:rsidP="002C0D21">
            <w:pPr>
              <w:jc w:val="right"/>
              <w:rPr>
                <w:rFonts w:ascii="Times New Roman" w:eastAsia="宋体" w:hAnsi="Times New Roman" w:cs="Times New Roman"/>
                <w:szCs w:val="21"/>
              </w:rPr>
            </w:pPr>
            <w:r w:rsidRPr="002C0D21">
              <w:rPr>
                <w:rFonts w:ascii="Times New Roman" w:eastAsia="宋体" w:hAnsi="Times New Roman" w:cs="Times New Roman"/>
                <w:szCs w:val="21"/>
              </w:rPr>
              <w:t>1,020.0000</w:t>
            </w:r>
          </w:p>
        </w:tc>
        <w:tc>
          <w:tcPr>
            <w:tcW w:w="1009" w:type="pct"/>
            <w:shd w:val="clear" w:color="auto" w:fill="auto"/>
            <w:vAlign w:val="center"/>
          </w:tcPr>
          <w:p w14:paraId="779ED261" w14:textId="77777777" w:rsidR="00325569" w:rsidRPr="002C0D21" w:rsidRDefault="00325569" w:rsidP="002C0D21">
            <w:pPr>
              <w:snapToGrid w:val="0"/>
              <w:jc w:val="right"/>
              <w:rPr>
                <w:rFonts w:ascii="Times New Roman" w:eastAsia="宋体" w:hAnsi="Times New Roman" w:cs="Times New Roman"/>
                <w:szCs w:val="21"/>
              </w:rPr>
            </w:pPr>
            <w:r w:rsidRPr="002C0D21">
              <w:rPr>
                <w:rFonts w:ascii="Times New Roman" w:eastAsia="宋体" w:hAnsi="Times New Roman" w:cs="Times New Roman"/>
                <w:szCs w:val="21"/>
              </w:rPr>
              <w:t>23.59%</w:t>
            </w:r>
          </w:p>
        </w:tc>
      </w:tr>
      <w:tr w:rsidR="00325569" w:rsidRPr="002C0D21" w14:paraId="404B47B2" w14:textId="77777777" w:rsidTr="002C0D21">
        <w:tc>
          <w:tcPr>
            <w:tcW w:w="559" w:type="pct"/>
            <w:shd w:val="clear" w:color="auto" w:fill="auto"/>
            <w:vAlign w:val="center"/>
          </w:tcPr>
          <w:p w14:paraId="666D9992" w14:textId="77777777" w:rsidR="00325569" w:rsidRPr="002C0D21" w:rsidRDefault="00325569" w:rsidP="002C0D21">
            <w:pPr>
              <w:snapToGrid w:val="0"/>
              <w:jc w:val="center"/>
              <w:rPr>
                <w:rFonts w:ascii="Times New Roman" w:eastAsia="宋体" w:hAnsi="Times New Roman" w:cs="Times New Roman"/>
                <w:szCs w:val="21"/>
              </w:rPr>
            </w:pPr>
            <w:r w:rsidRPr="002C0D21">
              <w:rPr>
                <w:rFonts w:ascii="Times New Roman" w:eastAsia="宋体" w:hAnsi="Times New Roman" w:cs="Times New Roman"/>
                <w:szCs w:val="21"/>
              </w:rPr>
              <w:t>2</w:t>
            </w:r>
          </w:p>
        </w:tc>
        <w:tc>
          <w:tcPr>
            <w:tcW w:w="1975" w:type="pct"/>
            <w:shd w:val="clear" w:color="auto" w:fill="auto"/>
            <w:vAlign w:val="center"/>
          </w:tcPr>
          <w:p w14:paraId="15A95D71" w14:textId="77777777" w:rsidR="00325569" w:rsidRPr="002C0D21" w:rsidRDefault="00325569" w:rsidP="00D22EFC">
            <w:pPr>
              <w:jc w:val="left"/>
              <w:rPr>
                <w:rFonts w:ascii="Times New Roman" w:eastAsia="宋体" w:hAnsi="Times New Roman" w:cs="Times New Roman"/>
                <w:szCs w:val="21"/>
              </w:rPr>
            </w:pPr>
            <w:proofErr w:type="gramStart"/>
            <w:r w:rsidRPr="002C0D21">
              <w:rPr>
                <w:rFonts w:ascii="Times New Roman" w:eastAsia="宋体" w:hAnsi="Times New Roman" w:cs="Times New Roman"/>
                <w:szCs w:val="21"/>
              </w:rPr>
              <w:t>恩智浦</w:t>
            </w:r>
            <w:proofErr w:type="gramEnd"/>
          </w:p>
        </w:tc>
        <w:tc>
          <w:tcPr>
            <w:tcW w:w="1457" w:type="pct"/>
            <w:shd w:val="clear" w:color="auto" w:fill="auto"/>
            <w:vAlign w:val="center"/>
          </w:tcPr>
          <w:p w14:paraId="1D728501" w14:textId="77777777" w:rsidR="00325569" w:rsidRPr="002C0D21" w:rsidRDefault="00325569" w:rsidP="002C0D21">
            <w:pPr>
              <w:jc w:val="right"/>
              <w:rPr>
                <w:rFonts w:ascii="Times New Roman" w:eastAsia="宋体" w:hAnsi="Times New Roman" w:cs="Times New Roman"/>
                <w:szCs w:val="21"/>
              </w:rPr>
            </w:pPr>
            <w:r w:rsidRPr="002C0D21">
              <w:rPr>
                <w:rFonts w:ascii="Times New Roman" w:eastAsia="宋体" w:hAnsi="Times New Roman" w:cs="Times New Roman"/>
                <w:szCs w:val="21"/>
              </w:rPr>
              <w:t>2</w:t>
            </w:r>
            <w:r w:rsidRPr="002C0D21">
              <w:rPr>
                <w:rFonts w:ascii="Times New Roman" w:eastAsia="宋体" w:hAnsi="Times New Roman" w:cs="Times New Roman" w:hint="eastAsia"/>
                <w:szCs w:val="21"/>
              </w:rPr>
              <w:t>,</w:t>
            </w:r>
            <w:r w:rsidRPr="002C0D21">
              <w:rPr>
                <w:rFonts w:ascii="Times New Roman" w:eastAsia="宋体" w:hAnsi="Times New Roman" w:cs="Times New Roman"/>
                <w:szCs w:val="21"/>
              </w:rPr>
              <w:t>118.5319</w:t>
            </w:r>
          </w:p>
        </w:tc>
        <w:tc>
          <w:tcPr>
            <w:tcW w:w="1009" w:type="pct"/>
            <w:shd w:val="clear" w:color="auto" w:fill="auto"/>
            <w:vAlign w:val="center"/>
          </w:tcPr>
          <w:p w14:paraId="4D653FBE" w14:textId="77777777" w:rsidR="00325569" w:rsidRPr="002C0D21" w:rsidRDefault="00325569" w:rsidP="002C0D21">
            <w:pPr>
              <w:snapToGrid w:val="0"/>
              <w:jc w:val="right"/>
              <w:rPr>
                <w:rFonts w:ascii="Times New Roman" w:eastAsia="宋体" w:hAnsi="Times New Roman" w:cs="Times New Roman"/>
                <w:szCs w:val="21"/>
              </w:rPr>
            </w:pPr>
            <w:r w:rsidRPr="002C0D21">
              <w:rPr>
                <w:rFonts w:ascii="Times New Roman" w:eastAsia="宋体" w:hAnsi="Times New Roman" w:cs="Times New Roman"/>
                <w:szCs w:val="21"/>
              </w:rPr>
              <w:t>49.00%</w:t>
            </w:r>
          </w:p>
        </w:tc>
      </w:tr>
      <w:tr w:rsidR="00325569" w:rsidRPr="002C0D21" w14:paraId="26D35256" w14:textId="77777777" w:rsidTr="002C0D21">
        <w:tc>
          <w:tcPr>
            <w:tcW w:w="559" w:type="pct"/>
            <w:shd w:val="clear" w:color="auto" w:fill="auto"/>
            <w:vAlign w:val="center"/>
          </w:tcPr>
          <w:p w14:paraId="230A522E" w14:textId="77777777" w:rsidR="00325569" w:rsidRPr="002C0D21" w:rsidRDefault="00325569" w:rsidP="002C0D21">
            <w:pPr>
              <w:snapToGrid w:val="0"/>
              <w:jc w:val="center"/>
              <w:rPr>
                <w:rFonts w:ascii="Times New Roman" w:eastAsia="宋体" w:hAnsi="Times New Roman" w:cs="Times New Roman"/>
                <w:szCs w:val="21"/>
              </w:rPr>
            </w:pPr>
            <w:r w:rsidRPr="002C0D21">
              <w:rPr>
                <w:rFonts w:ascii="Times New Roman" w:eastAsia="宋体" w:hAnsi="Times New Roman" w:cs="Times New Roman" w:hint="eastAsia"/>
                <w:szCs w:val="21"/>
              </w:rPr>
              <w:t>3</w:t>
            </w:r>
          </w:p>
        </w:tc>
        <w:tc>
          <w:tcPr>
            <w:tcW w:w="1975" w:type="pct"/>
            <w:shd w:val="clear" w:color="auto" w:fill="auto"/>
            <w:vAlign w:val="center"/>
          </w:tcPr>
          <w:p w14:paraId="5DFF725F" w14:textId="77777777" w:rsidR="00325569" w:rsidRPr="002C0D21" w:rsidRDefault="00325569" w:rsidP="00D22EFC">
            <w:pPr>
              <w:jc w:val="left"/>
              <w:rPr>
                <w:rFonts w:ascii="Times New Roman" w:eastAsia="宋体" w:hAnsi="Times New Roman" w:cs="Times New Roman"/>
                <w:szCs w:val="21"/>
              </w:rPr>
            </w:pPr>
            <w:r w:rsidRPr="002C0D21">
              <w:rPr>
                <w:rFonts w:ascii="Times New Roman" w:eastAsia="宋体" w:hAnsi="Times New Roman" w:cs="Times New Roman" w:hint="eastAsia"/>
                <w:szCs w:val="21"/>
              </w:rPr>
              <w:t>徐州汽车基金</w:t>
            </w:r>
          </w:p>
        </w:tc>
        <w:tc>
          <w:tcPr>
            <w:tcW w:w="1457" w:type="pct"/>
            <w:shd w:val="clear" w:color="auto" w:fill="auto"/>
            <w:vAlign w:val="center"/>
          </w:tcPr>
          <w:p w14:paraId="2BD3812D" w14:textId="77777777" w:rsidR="00325569" w:rsidRPr="002C0D21" w:rsidRDefault="00325569" w:rsidP="002C0D21">
            <w:pPr>
              <w:jc w:val="right"/>
              <w:rPr>
                <w:rFonts w:ascii="Times New Roman" w:eastAsia="宋体" w:hAnsi="Times New Roman" w:cs="Times New Roman"/>
                <w:szCs w:val="21"/>
              </w:rPr>
            </w:pPr>
            <w:r w:rsidRPr="002C0D21">
              <w:rPr>
                <w:rFonts w:ascii="Times New Roman" w:eastAsia="宋体" w:hAnsi="Times New Roman" w:cs="Times New Roman"/>
                <w:szCs w:val="21"/>
              </w:rPr>
              <w:t>1</w:t>
            </w:r>
            <w:r w:rsidRPr="002C0D21">
              <w:rPr>
                <w:rFonts w:ascii="Times New Roman" w:eastAsia="宋体" w:hAnsi="Times New Roman" w:cs="Times New Roman" w:hint="eastAsia"/>
                <w:szCs w:val="21"/>
              </w:rPr>
              <w:t>,</w:t>
            </w:r>
            <w:r w:rsidRPr="002C0D21">
              <w:rPr>
                <w:rFonts w:ascii="Times New Roman" w:eastAsia="宋体" w:hAnsi="Times New Roman" w:cs="Times New Roman"/>
                <w:szCs w:val="21"/>
              </w:rPr>
              <w:t>185.0026</w:t>
            </w:r>
          </w:p>
        </w:tc>
        <w:tc>
          <w:tcPr>
            <w:tcW w:w="1009" w:type="pct"/>
            <w:shd w:val="clear" w:color="auto" w:fill="auto"/>
            <w:vAlign w:val="center"/>
          </w:tcPr>
          <w:p w14:paraId="6C0F6CF1" w14:textId="77777777" w:rsidR="00325569" w:rsidRPr="002C0D21" w:rsidRDefault="00325569" w:rsidP="002C0D21">
            <w:pPr>
              <w:snapToGrid w:val="0"/>
              <w:jc w:val="right"/>
              <w:rPr>
                <w:rFonts w:ascii="Times New Roman" w:eastAsia="宋体" w:hAnsi="Times New Roman" w:cs="Times New Roman"/>
                <w:szCs w:val="21"/>
              </w:rPr>
            </w:pPr>
            <w:r w:rsidRPr="002C0D21">
              <w:rPr>
                <w:rFonts w:ascii="Times New Roman" w:eastAsia="宋体" w:hAnsi="Times New Roman" w:cs="Times New Roman" w:hint="eastAsia"/>
                <w:szCs w:val="21"/>
              </w:rPr>
              <w:t>2</w:t>
            </w:r>
            <w:r w:rsidRPr="002C0D21">
              <w:rPr>
                <w:rFonts w:ascii="Times New Roman" w:eastAsia="宋体" w:hAnsi="Times New Roman" w:cs="Times New Roman"/>
                <w:szCs w:val="21"/>
              </w:rPr>
              <w:t>7.41%</w:t>
            </w:r>
          </w:p>
        </w:tc>
      </w:tr>
      <w:tr w:rsidR="00325569" w:rsidRPr="002C0D21" w14:paraId="7C69F2CE" w14:textId="77777777" w:rsidTr="002C0D21">
        <w:tc>
          <w:tcPr>
            <w:tcW w:w="2534" w:type="pct"/>
            <w:gridSpan w:val="2"/>
            <w:shd w:val="clear" w:color="auto" w:fill="auto"/>
            <w:vAlign w:val="center"/>
          </w:tcPr>
          <w:p w14:paraId="140A7F97" w14:textId="3E852DF3" w:rsidR="00325569" w:rsidRPr="009D5034" w:rsidRDefault="00325569" w:rsidP="002C0D21">
            <w:pPr>
              <w:snapToGrid w:val="0"/>
              <w:jc w:val="center"/>
              <w:rPr>
                <w:rFonts w:ascii="Times New Roman" w:eastAsia="宋体" w:hAnsi="Times New Roman" w:cs="Times New Roman"/>
                <w:b/>
                <w:szCs w:val="21"/>
              </w:rPr>
            </w:pPr>
            <w:r w:rsidRPr="009D5034">
              <w:rPr>
                <w:rFonts w:ascii="Times New Roman" w:eastAsia="宋体" w:hAnsi="Times New Roman" w:cs="Times New Roman"/>
                <w:b/>
                <w:szCs w:val="21"/>
              </w:rPr>
              <w:t>合计</w:t>
            </w:r>
          </w:p>
        </w:tc>
        <w:tc>
          <w:tcPr>
            <w:tcW w:w="1457" w:type="pct"/>
            <w:shd w:val="clear" w:color="auto" w:fill="auto"/>
            <w:vAlign w:val="center"/>
          </w:tcPr>
          <w:p w14:paraId="71CD8F3B" w14:textId="77777777" w:rsidR="00325569" w:rsidRPr="009D5034" w:rsidRDefault="00325569" w:rsidP="002C0D21">
            <w:pPr>
              <w:snapToGrid w:val="0"/>
              <w:jc w:val="right"/>
              <w:rPr>
                <w:rFonts w:ascii="Times New Roman" w:eastAsia="宋体" w:hAnsi="Times New Roman" w:cs="Times New Roman"/>
                <w:b/>
                <w:szCs w:val="21"/>
              </w:rPr>
            </w:pPr>
            <w:r w:rsidRPr="009D5034">
              <w:rPr>
                <w:rFonts w:ascii="Times New Roman" w:eastAsia="宋体" w:hAnsi="Times New Roman" w:cs="Times New Roman"/>
                <w:b/>
                <w:szCs w:val="21"/>
              </w:rPr>
              <w:t>4</w:t>
            </w:r>
            <w:r w:rsidRPr="009D5034">
              <w:rPr>
                <w:rFonts w:ascii="Times New Roman" w:eastAsia="宋体" w:hAnsi="Times New Roman" w:cs="Times New Roman" w:hint="eastAsia"/>
                <w:b/>
                <w:szCs w:val="21"/>
              </w:rPr>
              <w:t>,</w:t>
            </w:r>
            <w:r w:rsidRPr="009D5034">
              <w:rPr>
                <w:rFonts w:ascii="Times New Roman" w:eastAsia="宋体" w:hAnsi="Times New Roman" w:cs="Times New Roman"/>
                <w:b/>
                <w:szCs w:val="21"/>
              </w:rPr>
              <w:t>323.5345</w:t>
            </w:r>
          </w:p>
        </w:tc>
        <w:tc>
          <w:tcPr>
            <w:tcW w:w="1009" w:type="pct"/>
            <w:shd w:val="clear" w:color="auto" w:fill="auto"/>
            <w:vAlign w:val="center"/>
          </w:tcPr>
          <w:p w14:paraId="75FCC04B" w14:textId="496AC777" w:rsidR="00325569" w:rsidRPr="009D5034" w:rsidRDefault="00325569" w:rsidP="002C0D21">
            <w:pPr>
              <w:snapToGrid w:val="0"/>
              <w:jc w:val="right"/>
              <w:rPr>
                <w:rFonts w:ascii="Times New Roman" w:eastAsia="宋体" w:hAnsi="Times New Roman" w:cs="Times New Roman"/>
                <w:b/>
                <w:szCs w:val="21"/>
              </w:rPr>
            </w:pPr>
            <w:r w:rsidRPr="009D5034">
              <w:rPr>
                <w:rFonts w:ascii="Times New Roman" w:eastAsia="宋体" w:hAnsi="Times New Roman" w:cs="Times New Roman"/>
                <w:b/>
                <w:szCs w:val="21"/>
              </w:rPr>
              <w:t>100.00%</w:t>
            </w:r>
          </w:p>
        </w:tc>
      </w:tr>
    </w:tbl>
    <w:p w14:paraId="1676209C" w14:textId="2CEC3723"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12</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4</w:t>
      </w:r>
      <w:r w:rsidRPr="002C0D21">
        <w:rPr>
          <w:rFonts w:ascii="Times New Roman" w:eastAsia="宋体" w:hAnsi="Times New Roman" w:cs="Times New Roman"/>
          <w:sz w:val="24"/>
          <w:szCs w:val="24"/>
        </w:rPr>
        <w:t>日，江苏安</w:t>
      </w:r>
      <w:proofErr w:type="gramStart"/>
      <w:r w:rsidRPr="002C0D21">
        <w:rPr>
          <w:rFonts w:ascii="Times New Roman" w:eastAsia="宋体" w:hAnsi="Times New Roman" w:cs="Times New Roman"/>
          <w:sz w:val="24"/>
          <w:szCs w:val="24"/>
        </w:rPr>
        <w:t>防办理</w:t>
      </w:r>
      <w:proofErr w:type="gramEnd"/>
      <w:r w:rsidRPr="002C0D21">
        <w:rPr>
          <w:rFonts w:ascii="Times New Roman" w:eastAsia="宋体" w:hAnsi="Times New Roman" w:cs="Times New Roman"/>
          <w:sz w:val="24"/>
          <w:szCs w:val="24"/>
        </w:rPr>
        <w:t>完毕本次江苏安防增资扩股的工商变更登记手续，并取得南京市市场监督管理局核发的变更后的《营业执照》。根据江苏安</w:t>
      </w:r>
      <w:proofErr w:type="gramStart"/>
      <w:r w:rsidRPr="002C0D21">
        <w:rPr>
          <w:rFonts w:ascii="Times New Roman" w:eastAsia="宋体" w:hAnsi="Times New Roman" w:cs="Times New Roman"/>
          <w:sz w:val="24"/>
          <w:szCs w:val="24"/>
        </w:rPr>
        <w:t>防提供</w:t>
      </w:r>
      <w:proofErr w:type="gramEnd"/>
      <w:r w:rsidRPr="002C0D21">
        <w:rPr>
          <w:rFonts w:ascii="Times New Roman" w:eastAsia="宋体" w:hAnsi="Times New Roman" w:cs="Times New Roman"/>
          <w:sz w:val="24"/>
          <w:szCs w:val="24"/>
        </w:rPr>
        <w:t>的大唐电信、德富勤、厦门云攀、徐州</w:t>
      </w:r>
      <w:proofErr w:type="gramStart"/>
      <w:r w:rsidRPr="002C0D21">
        <w:rPr>
          <w:rFonts w:ascii="Times New Roman" w:eastAsia="宋体" w:hAnsi="Times New Roman" w:cs="Times New Roman"/>
          <w:sz w:val="24"/>
          <w:szCs w:val="24"/>
        </w:rPr>
        <w:t>智安基金</w:t>
      </w:r>
      <w:proofErr w:type="gramEnd"/>
      <w:r w:rsidRPr="002C0D21">
        <w:rPr>
          <w:rFonts w:ascii="Times New Roman" w:eastAsia="宋体" w:hAnsi="Times New Roman" w:cs="Times New Roman"/>
          <w:sz w:val="24"/>
          <w:szCs w:val="24"/>
        </w:rPr>
        <w:t>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15</w:t>
      </w:r>
      <w:r w:rsidRPr="002C0D21">
        <w:rPr>
          <w:rFonts w:ascii="Times New Roman" w:eastAsia="宋体" w:hAnsi="Times New Roman" w:cs="Times New Roman"/>
          <w:sz w:val="24"/>
          <w:szCs w:val="24"/>
        </w:rPr>
        <w:t>日签署的《江苏安防科技有限公司章程》，本次江苏安防增资扩股完成后，其股东及股权结构的基本情况如下表：</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324"/>
        <w:gridCol w:w="2453"/>
        <w:gridCol w:w="1698"/>
      </w:tblGrid>
      <w:tr w:rsidR="00325569" w:rsidRPr="002C0D21" w14:paraId="090509D0" w14:textId="77777777" w:rsidTr="009D5034">
        <w:trPr>
          <w:trHeight w:val="442"/>
        </w:trPr>
        <w:tc>
          <w:tcPr>
            <w:tcW w:w="484" w:type="pct"/>
            <w:tcBorders>
              <w:top w:val="single" w:sz="12" w:space="0" w:color="auto"/>
              <w:left w:val="single" w:sz="12" w:space="0" w:color="auto"/>
            </w:tcBorders>
            <w:shd w:val="clear" w:color="auto" w:fill="auto"/>
            <w:vAlign w:val="center"/>
          </w:tcPr>
          <w:p w14:paraId="1704B2B5" w14:textId="77777777" w:rsidR="00325569" w:rsidRPr="009D5034" w:rsidRDefault="00325569" w:rsidP="00325569">
            <w:pPr>
              <w:snapToGrid w:val="0"/>
              <w:spacing w:line="300" w:lineRule="auto"/>
              <w:jc w:val="center"/>
              <w:rPr>
                <w:rFonts w:ascii="Times New Roman" w:eastAsia="宋体" w:hAnsi="Times New Roman" w:cs="Times New Roman"/>
                <w:b/>
                <w:bCs/>
                <w:szCs w:val="21"/>
              </w:rPr>
            </w:pPr>
            <w:r w:rsidRPr="009D5034">
              <w:rPr>
                <w:rFonts w:ascii="Times New Roman" w:eastAsia="宋体" w:hAnsi="Times New Roman" w:cs="Times New Roman"/>
                <w:b/>
                <w:bCs/>
                <w:szCs w:val="21"/>
              </w:rPr>
              <w:t>序号</w:t>
            </w:r>
          </w:p>
        </w:tc>
        <w:tc>
          <w:tcPr>
            <w:tcW w:w="2008" w:type="pct"/>
            <w:tcBorders>
              <w:top w:val="single" w:sz="12" w:space="0" w:color="auto"/>
            </w:tcBorders>
            <w:shd w:val="clear" w:color="auto" w:fill="auto"/>
            <w:vAlign w:val="center"/>
          </w:tcPr>
          <w:p w14:paraId="2A487EBB" w14:textId="77777777" w:rsidR="00325569" w:rsidRPr="009D5034" w:rsidRDefault="00325569" w:rsidP="00325569">
            <w:pPr>
              <w:snapToGrid w:val="0"/>
              <w:spacing w:line="300" w:lineRule="auto"/>
              <w:jc w:val="center"/>
              <w:rPr>
                <w:rFonts w:ascii="Times New Roman" w:eastAsia="宋体" w:hAnsi="Times New Roman" w:cs="Times New Roman"/>
                <w:b/>
                <w:bCs/>
                <w:szCs w:val="21"/>
              </w:rPr>
            </w:pPr>
            <w:r w:rsidRPr="009D5034">
              <w:rPr>
                <w:rFonts w:ascii="Times New Roman" w:eastAsia="宋体" w:hAnsi="Times New Roman" w:cs="Times New Roman"/>
                <w:b/>
                <w:bCs/>
                <w:szCs w:val="21"/>
              </w:rPr>
              <w:t>股东名称</w:t>
            </w:r>
          </w:p>
        </w:tc>
        <w:tc>
          <w:tcPr>
            <w:tcW w:w="1482" w:type="pct"/>
            <w:tcBorders>
              <w:top w:val="single" w:sz="12" w:space="0" w:color="auto"/>
            </w:tcBorders>
            <w:shd w:val="clear" w:color="auto" w:fill="auto"/>
            <w:vAlign w:val="center"/>
          </w:tcPr>
          <w:p w14:paraId="3A328F85" w14:textId="77777777" w:rsidR="00325569" w:rsidRPr="009D5034" w:rsidRDefault="00325569" w:rsidP="00325569">
            <w:pPr>
              <w:snapToGrid w:val="0"/>
              <w:spacing w:line="300" w:lineRule="auto"/>
              <w:jc w:val="center"/>
              <w:rPr>
                <w:rFonts w:ascii="Times New Roman" w:eastAsia="宋体" w:hAnsi="Times New Roman" w:cs="Times New Roman"/>
                <w:b/>
                <w:bCs/>
                <w:szCs w:val="21"/>
              </w:rPr>
            </w:pPr>
            <w:r w:rsidRPr="009D5034">
              <w:rPr>
                <w:rFonts w:ascii="Times New Roman" w:eastAsia="宋体" w:hAnsi="Times New Roman" w:cs="Times New Roman"/>
                <w:b/>
                <w:bCs/>
                <w:szCs w:val="21"/>
              </w:rPr>
              <w:t>出资额</w:t>
            </w:r>
            <w:r w:rsidRPr="009D5034">
              <w:rPr>
                <w:rFonts w:ascii="Times New Roman" w:eastAsia="宋体" w:hAnsi="Times New Roman" w:cs="Times New Roman"/>
                <w:b/>
                <w:bCs/>
                <w:szCs w:val="21"/>
              </w:rPr>
              <w:t>(</w:t>
            </w:r>
            <w:r w:rsidRPr="009D5034">
              <w:rPr>
                <w:rFonts w:ascii="Times New Roman" w:eastAsia="宋体" w:hAnsi="Times New Roman" w:cs="Times New Roman"/>
                <w:b/>
                <w:bCs/>
                <w:szCs w:val="21"/>
              </w:rPr>
              <w:t>万元</w:t>
            </w:r>
            <w:r w:rsidRPr="009D5034">
              <w:rPr>
                <w:rFonts w:ascii="Times New Roman" w:eastAsia="宋体" w:hAnsi="Times New Roman" w:cs="Times New Roman"/>
                <w:b/>
                <w:bCs/>
                <w:szCs w:val="21"/>
              </w:rPr>
              <w:t>)</w:t>
            </w:r>
          </w:p>
        </w:tc>
        <w:tc>
          <w:tcPr>
            <w:tcW w:w="1026" w:type="pct"/>
            <w:tcBorders>
              <w:top w:val="single" w:sz="12" w:space="0" w:color="auto"/>
              <w:right w:val="single" w:sz="12" w:space="0" w:color="auto"/>
            </w:tcBorders>
            <w:shd w:val="clear" w:color="auto" w:fill="auto"/>
            <w:vAlign w:val="center"/>
          </w:tcPr>
          <w:p w14:paraId="40B8B503" w14:textId="77777777" w:rsidR="00325569" w:rsidRPr="009D5034" w:rsidRDefault="00325569" w:rsidP="00325569">
            <w:pPr>
              <w:snapToGrid w:val="0"/>
              <w:spacing w:line="300" w:lineRule="auto"/>
              <w:jc w:val="center"/>
              <w:rPr>
                <w:rFonts w:ascii="Times New Roman" w:eastAsia="宋体" w:hAnsi="Times New Roman" w:cs="Times New Roman"/>
                <w:b/>
                <w:bCs/>
                <w:szCs w:val="21"/>
              </w:rPr>
            </w:pPr>
            <w:r w:rsidRPr="009D5034">
              <w:rPr>
                <w:rFonts w:ascii="Times New Roman" w:eastAsia="宋体" w:hAnsi="Times New Roman" w:cs="Times New Roman"/>
                <w:b/>
                <w:bCs/>
                <w:szCs w:val="21"/>
              </w:rPr>
              <w:t>出资比例</w:t>
            </w:r>
          </w:p>
        </w:tc>
      </w:tr>
      <w:tr w:rsidR="00325569" w:rsidRPr="002C0D21" w14:paraId="4513225B" w14:textId="77777777" w:rsidTr="009D5034">
        <w:tc>
          <w:tcPr>
            <w:tcW w:w="484" w:type="pct"/>
            <w:tcBorders>
              <w:left w:val="single" w:sz="12" w:space="0" w:color="auto"/>
            </w:tcBorders>
            <w:vAlign w:val="center"/>
          </w:tcPr>
          <w:p w14:paraId="21561C3F" w14:textId="77777777" w:rsidR="00325569" w:rsidRPr="009D5034" w:rsidRDefault="00325569" w:rsidP="00325569">
            <w:pPr>
              <w:snapToGrid w:val="0"/>
              <w:spacing w:line="300" w:lineRule="auto"/>
              <w:jc w:val="center"/>
              <w:rPr>
                <w:rFonts w:ascii="Times New Roman" w:eastAsia="宋体" w:hAnsi="Times New Roman" w:cs="Times New Roman"/>
                <w:szCs w:val="21"/>
              </w:rPr>
            </w:pPr>
            <w:r w:rsidRPr="009D5034">
              <w:rPr>
                <w:rFonts w:ascii="Times New Roman" w:eastAsia="宋体" w:hAnsi="Times New Roman" w:cs="Times New Roman"/>
                <w:szCs w:val="21"/>
              </w:rPr>
              <w:t>1</w:t>
            </w:r>
          </w:p>
        </w:tc>
        <w:tc>
          <w:tcPr>
            <w:tcW w:w="2008" w:type="pct"/>
            <w:vAlign w:val="center"/>
          </w:tcPr>
          <w:p w14:paraId="7F8672C0" w14:textId="77777777" w:rsidR="00325569" w:rsidRPr="009D5034" w:rsidRDefault="00325569" w:rsidP="00D22EFC">
            <w:pPr>
              <w:spacing w:line="300" w:lineRule="auto"/>
              <w:jc w:val="left"/>
              <w:rPr>
                <w:rFonts w:ascii="Times New Roman" w:eastAsia="宋体" w:hAnsi="Times New Roman" w:cs="Times New Roman"/>
                <w:szCs w:val="21"/>
              </w:rPr>
            </w:pPr>
            <w:r w:rsidRPr="009D5034">
              <w:rPr>
                <w:rFonts w:ascii="Times New Roman" w:eastAsia="宋体" w:hAnsi="Times New Roman" w:cs="Times New Roman"/>
                <w:szCs w:val="21"/>
              </w:rPr>
              <w:t>大唐电信</w:t>
            </w:r>
          </w:p>
        </w:tc>
        <w:tc>
          <w:tcPr>
            <w:tcW w:w="1482" w:type="pct"/>
            <w:vAlign w:val="center"/>
          </w:tcPr>
          <w:p w14:paraId="63ED3618" w14:textId="77777777" w:rsidR="00325569" w:rsidRPr="009D5034" w:rsidRDefault="00325569" w:rsidP="00325569">
            <w:pPr>
              <w:spacing w:line="300" w:lineRule="auto"/>
              <w:jc w:val="right"/>
              <w:rPr>
                <w:rFonts w:ascii="Times New Roman" w:eastAsia="宋体" w:hAnsi="Times New Roman" w:cs="Times New Roman"/>
                <w:szCs w:val="21"/>
              </w:rPr>
            </w:pPr>
            <w:r w:rsidRPr="009D5034">
              <w:rPr>
                <w:rFonts w:ascii="Times New Roman" w:eastAsia="宋体" w:hAnsi="Times New Roman" w:cs="Times New Roman"/>
                <w:szCs w:val="21"/>
              </w:rPr>
              <w:t>4,100.00</w:t>
            </w:r>
          </w:p>
        </w:tc>
        <w:tc>
          <w:tcPr>
            <w:tcW w:w="1026" w:type="pct"/>
            <w:tcBorders>
              <w:right w:val="single" w:sz="12" w:space="0" w:color="auto"/>
            </w:tcBorders>
            <w:vAlign w:val="center"/>
          </w:tcPr>
          <w:p w14:paraId="1E412AC9" w14:textId="77777777" w:rsidR="00325569" w:rsidRPr="009D5034" w:rsidRDefault="00325569" w:rsidP="00325569">
            <w:pPr>
              <w:snapToGrid w:val="0"/>
              <w:spacing w:line="300" w:lineRule="auto"/>
              <w:ind w:firstLineChars="98" w:firstLine="206"/>
              <w:jc w:val="right"/>
              <w:rPr>
                <w:rFonts w:ascii="Times New Roman" w:eastAsia="宋体" w:hAnsi="Times New Roman" w:cs="Times New Roman"/>
                <w:szCs w:val="21"/>
              </w:rPr>
            </w:pPr>
            <w:r w:rsidRPr="009D5034">
              <w:rPr>
                <w:rFonts w:ascii="Times New Roman" w:eastAsia="宋体" w:hAnsi="Times New Roman" w:cs="Times New Roman"/>
                <w:szCs w:val="21"/>
              </w:rPr>
              <w:t>30.82%</w:t>
            </w:r>
          </w:p>
        </w:tc>
      </w:tr>
      <w:tr w:rsidR="00325569" w:rsidRPr="002C0D21" w14:paraId="524B8C45" w14:textId="77777777" w:rsidTr="009D5034">
        <w:tc>
          <w:tcPr>
            <w:tcW w:w="484" w:type="pct"/>
            <w:tcBorders>
              <w:left w:val="single" w:sz="12" w:space="0" w:color="auto"/>
            </w:tcBorders>
            <w:vAlign w:val="center"/>
          </w:tcPr>
          <w:p w14:paraId="0A19E5E3" w14:textId="77777777" w:rsidR="00325569" w:rsidRPr="009D5034" w:rsidRDefault="00325569" w:rsidP="00325569">
            <w:pPr>
              <w:snapToGrid w:val="0"/>
              <w:spacing w:line="300" w:lineRule="auto"/>
              <w:jc w:val="center"/>
              <w:rPr>
                <w:rFonts w:ascii="Times New Roman" w:eastAsia="宋体" w:hAnsi="Times New Roman" w:cs="Times New Roman"/>
                <w:szCs w:val="21"/>
              </w:rPr>
            </w:pPr>
            <w:r w:rsidRPr="009D5034">
              <w:rPr>
                <w:rFonts w:ascii="Times New Roman" w:eastAsia="宋体" w:hAnsi="Times New Roman" w:cs="Times New Roman"/>
                <w:szCs w:val="21"/>
              </w:rPr>
              <w:t>2</w:t>
            </w:r>
          </w:p>
        </w:tc>
        <w:tc>
          <w:tcPr>
            <w:tcW w:w="2008" w:type="pct"/>
            <w:vAlign w:val="center"/>
          </w:tcPr>
          <w:p w14:paraId="1E94ED5D" w14:textId="77777777" w:rsidR="00325569" w:rsidRPr="009D5034" w:rsidRDefault="00325569" w:rsidP="00D22EFC">
            <w:pPr>
              <w:spacing w:line="300" w:lineRule="auto"/>
              <w:jc w:val="left"/>
              <w:rPr>
                <w:rFonts w:ascii="Times New Roman" w:eastAsia="宋体" w:hAnsi="Times New Roman" w:cs="Times New Roman"/>
                <w:szCs w:val="21"/>
              </w:rPr>
            </w:pPr>
            <w:r w:rsidRPr="009D5034">
              <w:rPr>
                <w:rFonts w:ascii="Times New Roman" w:eastAsia="宋体" w:hAnsi="Times New Roman" w:cs="Times New Roman"/>
                <w:szCs w:val="21"/>
              </w:rPr>
              <w:t>德富勤</w:t>
            </w:r>
          </w:p>
        </w:tc>
        <w:tc>
          <w:tcPr>
            <w:tcW w:w="1482" w:type="pct"/>
            <w:vAlign w:val="center"/>
          </w:tcPr>
          <w:p w14:paraId="5262CF97" w14:textId="77777777" w:rsidR="00325569" w:rsidRPr="009D5034" w:rsidRDefault="00325569" w:rsidP="00325569">
            <w:pPr>
              <w:spacing w:line="300" w:lineRule="auto"/>
              <w:jc w:val="right"/>
              <w:rPr>
                <w:rFonts w:ascii="Times New Roman" w:eastAsia="宋体" w:hAnsi="Times New Roman" w:cs="Times New Roman"/>
                <w:szCs w:val="21"/>
              </w:rPr>
            </w:pPr>
            <w:r w:rsidRPr="009D5034">
              <w:rPr>
                <w:rFonts w:ascii="Times New Roman" w:eastAsia="宋体" w:hAnsi="Times New Roman" w:cs="Times New Roman"/>
                <w:szCs w:val="21"/>
              </w:rPr>
              <w:t>3,922.00</w:t>
            </w:r>
          </w:p>
        </w:tc>
        <w:tc>
          <w:tcPr>
            <w:tcW w:w="1026" w:type="pct"/>
            <w:tcBorders>
              <w:right w:val="single" w:sz="12" w:space="0" w:color="auto"/>
            </w:tcBorders>
            <w:vAlign w:val="center"/>
          </w:tcPr>
          <w:p w14:paraId="33C2C6A6" w14:textId="77777777" w:rsidR="00325569" w:rsidRPr="009D5034" w:rsidRDefault="00325569" w:rsidP="00325569">
            <w:pPr>
              <w:snapToGrid w:val="0"/>
              <w:spacing w:line="300" w:lineRule="auto"/>
              <w:ind w:firstLineChars="98" w:firstLine="206"/>
              <w:jc w:val="right"/>
              <w:rPr>
                <w:rFonts w:ascii="Times New Roman" w:eastAsia="宋体" w:hAnsi="Times New Roman" w:cs="Times New Roman"/>
                <w:szCs w:val="21"/>
              </w:rPr>
            </w:pPr>
            <w:r w:rsidRPr="009D5034">
              <w:rPr>
                <w:rFonts w:ascii="Times New Roman" w:eastAsia="宋体" w:hAnsi="Times New Roman" w:cs="Times New Roman"/>
                <w:szCs w:val="21"/>
              </w:rPr>
              <w:t>29.48%</w:t>
            </w:r>
          </w:p>
        </w:tc>
      </w:tr>
      <w:tr w:rsidR="00325569" w:rsidRPr="002C0D21" w14:paraId="166E9211" w14:textId="77777777" w:rsidTr="009D5034">
        <w:tc>
          <w:tcPr>
            <w:tcW w:w="484" w:type="pct"/>
            <w:tcBorders>
              <w:left w:val="single" w:sz="12" w:space="0" w:color="auto"/>
            </w:tcBorders>
            <w:vAlign w:val="center"/>
          </w:tcPr>
          <w:p w14:paraId="37511539" w14:textId="77777777" w:rsidR="00325569" w:rsidRPr="009D5034" w:rsidRDefault="00325569" w:rsidP="00325569">
            <w:pPr>
              <w:snapToGrid w:val="0"/>
              <w:spacing w:line="300" w:lineRule="auto"/>
              <w:jc w:val="center"/>
              <w:rPr>
                <w:rFonts w:ascii="Times New Roman" w:eastAsia="宋体" w:hAnsi="Times New Roman" w:cs="Times New Roman"/>
                <w:szCs w:val="21"/>
              </w:rPr>
            </w:pPr>
            <w:r w:rsidRPr="009D5034">
              <w:rPr>
                <w:rFonts w:ascii="Times New Roman" w:eastAsia="宋体" w:hAnsi="Times New Roman" w:cs="Times New Roman"/>
                <w:szCs w:val="21"/>
              </w:rPr>
              <w:t>3</w:t>
            </w:r>
          </w:p>
        </w:tc>
        <w:tc>
          <w:tcPr>
            <w:tcW w:w="2008" w:type="pct"/>
            <w:vAlign w:val="center"/>
          </w:tcPr>
          <w:p w14:paraId="3CA80399" w14:textId="77777777" w:rsidR="00325569" w:rsidRPr="009D5034" w:rsidRDefault="00325569" w:rsidP="00D22EFC">
            <w:pPr>
              <w:spacing w:line="300" w:lineRule="auto"/>
              <w:jc w:val="left"/>
              <w:rPr>
                <w:rFonts w:ascii="Times New Roman" w:eastAsia="宋体" w:hAnsi="Times New Roman" w:cs="Times New Roman"/>
                <w:szCs w:val="21"/>
              </w:rPr>
            </w:pPr>
            <w:proofErr w:type="gramStart"/>
            <w:r w:rsidRPr="009D5034">
              <w:rPr>
                <w:rFonts w:ascii="Times New Roman" w:eastAsia="宋体" w:hAnsi="Times New Roman" w:cs="Times New Roman"/>
                <w:szCs w:val="21"/>
              </w:rPr>
              <w:t>厦门云攀</w:t>
            </w:r>
            <w:proofErr w:type="gramEnd"/>
          </w:p>
        </w:tc>
        <w:tc>
          <w:tcPr>
            <w:tcW w:w="1482" w:type="pct"/>
            <w:vAlign w:val="center"/>
          </w:tcPr>
          <w:p w14:paraId="149EE0E6" w14:textId="77777777" w:rsidR="00325569" w:rsidRPr="009D5034" w:rsidRDefault="00325569" w:rsidP="00325569">
            <w:pPr>
              <w:spacing w:line="300" w:lineRule="auto"/>
              <w:jc w:val="right"/>
              <w:rPr>
                <w:rFonts w:ascii="Times New Roman" w:eastAsia="宋体" w:hAnsi="Times New Roman" w:cs="Times New Roman"/>
                <w:szCs w:val="21"/>
              </w:rPr>
            </w:pPr>
            <w:r w:rsidRPr="009D5034">
              <w:rPr>
                <w:rFonts w:ascii="Times New Roman" w:eastAsia="宋体" w:hAnsi="Times New Roman" w:cs="Times New Roman"/>
                <w:szCs w:val="21"/>
              </w:rPr>
              <w:t>1,978.00</w:t>
            </w:r>
          </w:p>
        </w:tc>
        <w:tc>
          <w:tcPr>
            <w:tcW w:w="1026" w:type="pct"/>
            <w:tcBorders>
              <w:right w:val="single" w:sz="12" w:space="0" w:color="auto"/>
            </w:tcBorders>
            <w:vAlign w:val="center"/>
          </w:tcPr>
          <w:p w14:paraId="2E2682A4" w14:textId="77777777" w:rsidR="00325569" w:rsidRPr="009D5034" w:rsidRDefault="00325569" w:rsidP="00325569">
            <w:pPr>
              <w:snapToGrid w:val="0"/>
              <w:spacing w:line="300" w:lineRule="auto"/>
              <w:ind w:firstLineChars="98" w:firstLine="206"/>
              <w:jc w:val="right"/>
              <w:rPr>
                <w:rFonts w:ascii="Times New Roman" w:eastAsia="宋体" w:hAnsi="Times New Roman" w:cs="Times New Roman"/>
                <w:szCs w:val="21"/>
              </w:rPr>
            </w:pPr>
            <w:r w:rsidRPr="009D5034">
              <w:rPr>
                <w:rFonts w:ascii="Times New Roman" w:eastAsia="宋体" w:hAnsi="Times New Roman" w:cs="Times New Roman"/>
                <w:szCs w:val="21"/>
              </w:rPr>
              <w:t>14.87%</w:t>
            </w:r>
          </w:p>
        </w:tc>
      </w:tr>
      <w:tr w:rsidR="00325569" w:rsidRPr="002C0D21" w14:paraId="40A10ABA" w14:textId="77777777" w:rsidTr="009D5034">
        <w:tc>
          <w:tcPr>
            <w:tcW w:w="484" w:type="pct"/>
            <w:tcBorders>
              <w:left w:val="single" w:sz="12" w:space="0" w:color="auto"/>
            </w:tcBorders>
            <w:vAlign w:val="center"/>
          </w:tcPr>
          <w:p w14:paraId="2AE64A67" w14:textId="77777777" w:rsidR="00325569" w:rsidRPr="009D5034" w:rsidRDefault="00325569" w:rsidP="00325569">
            <w:pPr>
              <w:snapToGrid w:val="0"/>
              <w:spacing w:line="300" w:lineRule="auto"/>
              <w:jc w:val="center"/>
              <w:rPr>
                <w:rFonts w:ascii="Times New Roman" w:eastAsia="宋体" w:hAnsi="Times New Roman" w:cs="Times New Roman"/>
                <w:szCs w:val="21"/>
              </w:rPr>
            </w:pPr>
            <w:r w:rsidRPr="009D5034">
              <w:rPr>
                <w:rFonts w:ascii="Times New Roman" w:eastAsia="宋体" w:hAnsi="Times New Roman" w:cs="Times New Roman"/>
                <w:szCs w:val="21"/>
              </w:rPr>
              <w:t>4</w:t>
            </w:r>
          </w:p>
        </w:tc>
        <w:tc>
          <w:tcPr>
            <w:tcW w:w="2008" w:type="pct"/>
            <w:vAlign w:val="center"/>
          </w:tcPr>
          <w:p w14:paraId="5FC11C0C" w14:textId="77777777" w:rsidR="00325569" w:rsidRPr="009D5034" w:rsidRDefault="00325569" w:rsidP="00D22EFC">
            <w:pPr>
              <w:spacing w:line="300" w:lineRule="auto"/>
              <w:jc w:val="left"/>
              <w:rPr>
                <w:rFonts w:ascii="Times New Roman" w:eastAsia="宋体" w:hAnsi="Times New Roman" w:cs="Times New Roman"/>
                <w:szCs w:val="21"/>
              </w:rPr>
            </w:pPr>
            <w:r w:rsidRPr="009D5034">
              <w:rPr>
                <w:rFonts w:ascii="Times New Roman" w:eastAsia="宋体" w:hAnsi="Times New Roman" w:cs="Times New Roman"/>
                <w:szCs w:val="21"/>
              </w:rPr>
              <w:t>徐州</w:t>
            </w:r>
            <w:proofErr w:type="gramStart"/>
            <w:r w:rsidRPr="009D5034">
              <w:rPr>
                <w:rFonts w:ascii="Times New Roman" w:eastAsia="宋体" w:hAnsi="Times New Roman" w:cs="Times New Roman"/>
                <w:szCs w:val="21"/>
              </w:rPr>
              <w:t>智安基金</w:t>
            </w:r>
            <w:proofErr w:type="gramEnd"/>
          </w:p>
        </w:tc>
        <w:tc>
          <w:tcPr>
            <w:tcW w:w="1482" w:type="pct"/>
            <w:vAlign w:val="center"/>
          </w:tcPr>
          <w:p w14:paraId="0E5DCEE8" w14:textId="77777777" w:rsidR="00325569" w:rsidRPr="009D5034" w:rsidRDefault="00325569" w:rsidP="00325569">
            <w:pPr>
              <w:spacing w:line="300" w:lineRule="auto"/>
              <w:jc w:val="right"/>
              <w:rPr>
                <w:rFonts w:ascii="Times New Roman" w:eastAsia="宋体" w:hAnsi="Times New Roman" w:cs="Times New Roman"/>
                <w:szCs w:val="21"/>
              </w:rPr>
            </w:pPr>
            <w:r w:rsidRPr="009D5034">
              <w:rPr>
                <w:rFonts w:ascii="Times New Roman" w:eastAsia="宋体" w:hAnsi="Times New Roman" w:cs="Times New Roman"/>
                <w:szCs w:val="21"/>
              </w:rPr>
              <w:t>3,303.00</w:t>
            </w:r>
          </w:p>
        </w:tc>
        <w:tc>
          <w:tcPr>
            <w:tcW w:w="1026" w:type="pct"/>
            <w:tcBorders>
              <w:right w:val="single" w:sz="12" w:space="0" w:color="auto"/>
            </w:tcBorders>
            <w:vAlign w:val="center"/>
          </w:tcPr>
          <w:p w14:paraId="3FD745E4" w14:textId="77777777" w:rsidR="00325569" w:rsidRPr="009D5034" w:rsidRDefault="00325569" w:rsidP="00325569">
            <w:pPr>
              <w:snapToGrid w:val="0"/>
              <w:spacing w:line="300" w:lineRule="auto"/>
              <w:ind w:firstLineChars="98" w:firstLine="206"/>
              <w:jc w:val="right"/>
              <w:rPr>
                <w:rFonts w:ascii="Times New Roman" w:eastAsia="宋体" w:hAnsi="Times New Roman" w:cs="Times New Roman"/>
                <w:szCs w:val="21"/>
              </w:rPr>
            </w:pPr>
            <w:r w:rsidRPr="009D5034">
              <w:rPr>
                <w:rFonts w:ascii="Times New Roman" w:eastAsia="宋体" w:hAnsi="Times New Roman" w:cs="Times New Roman"/>
                <w:szCs w:val="21"/>
              </w:rPr>
              <w:t>24.83%</w:t>
            </w:r>
          </w:p>
        </w:tc>
      </w:tr>
      <w:tr w:rsidR="00325569" w:rsidRPr="002C0D21" w14:paraId="7EB6D84C" w14:textId="77777777" w:rsidTr="009D5034">
        <w:tc>
          <w:tcPr>
            <w:tcW w:w="2492" w:type="pct"/>
            <w:gridSpan w:val="2"/>
            <w:tcBorders>
              <w:left w:val="single" w:sz="12" w:space="0" w:color="auto"/>
              <w:bottom w:val="single" w:sz="12" w:space="0" w:color="auto"/>
            </w:tcBorders>
            <w:vAlign w:val="center"/>
          </w:tcPr>
          <w:p w14:paraId="7D2565AC" w14:textId="75A59992" w:rsidR="00325569" w:rsidRPr="009D5034" w:rsidRDefault="00325569" w:rsidP="00325569">
            <w:pPr>
              <w:snapToGrid w:val="0"/>
              <w:spacing w:line="300" w:lineRule="auto"/>
              <w:jc w:val="center"/>
              <w:rPr>
                <w:rFonts w:ascii="Times New Roman" w:eastAsia="宋体" w:hAnsi="Times New Roman" w:cs="Times New Roman"/>
                <w:b/>
                <w:bCs/>
                <w:szCs w:val="21"/>
              </w:rPr>
            </w:pPr>
            <w:r w:rsidRPr="009D5034">
              <w:rPr>
                <w:rFonts w:ascii="Times New Roman" w:eastAsia="宋体" w:hAnsi="Times New Roman" w:cs="Times New Roman"/>
                <w:b/>
                <w:bCs/>
                <w:szCs w:val="21"/>
              </w:rPr>
              <w:t>合计</w:t>
            </w:r>
          </w:p>
        </w:tc>
        <w:tc>
          <w:tcPr>
            <w:tcW w:w="1482" w:type="pct"/>
            <w:tcBorders>
              <w:bottom w:val="single" w:sz="12" w:space="0" w:color="auto"/>
            </w:tcBorders>
            <w:vAlign w:val="center"/>
          </w:tcPr>
          <w:p w14:paraId="1EBA6B1A" w14:textId="25F3ACF7" w:rsidR="00325569" w:rsidRPr="009D5034" w:rsidRDefault="00325569" w:rsidP="00325569">
            <w:pPr>
              <w:snapToGrid w:val="0"/>
              <w:spacing w:line="300" w:lineRule="auto"/>
              <w:jc w:val="right"/>
              <w:rPr>
                <w:rFonts w:ascii="Times New Roman" w:eastAsia="宋体" w:hAnsi="Times New Roman" w:cs="Times New Roman"/>
                <w:b/>
                <w:bCs/>
                <w:szCs w:val="21"/>
              </w:rPr>
            </w:pPr>
            <w:r w:rsidRPr="009D5034">
              <w:rPr>
                <w:rFonts w:ascii="Times New Roman" w:eastAsia="宋体" w:hAnsi="Times New Roman" w:cs="Times New Roman"/>
                <w:b/>
                <w:bCs/>
                <w:szCs w:val="21"/>
              </w:rPr>
              <w:t>13,303.00</w:t>
            </w:r>
          </w:p>
        </w:tc>
        <w:tc>
          <w:tcPr>
            <w:tcW w:w="1026" w:type="pct"/>
            <w:tcBorders>
              <w:bottom w:val="single" w:sz="12" w:space="0" w:color="auto"/>
              <w:right w:val="single" w:sz="12" w:space="0" w:color="auto"/>
            </w:tcBorders>
            <w:vAlign w:val="center"/>
          </w:tcPr>
          <w:p w14:paraId="70AB8269" w14:textId="6AE008C1" w:rsidR="00325569" w:rsidRPr="009D5034" w:rsidRDefault="00325569" w:rsidP="00325569">
            <w:pPr>
              <w:snapToGrid w:val="0"/>
              <w:spacing w:line="300" w:lineRule="auto"/>
              <w:jc w:val="right"/>
              <w:rPr>
                <w:rFonts w:ascii="Times New Roman" w:eastAsia="宋体" w:hAnsi="Times New Roman" w:cs="Times New Roman"/>
                <w:b/>
                <w:bCs/>
                <w:szCs w:val="21"/>
              </w:rPr>
            </w:pPr>
            <w:r w:rsidRPr="009D5034">
              <w:rPr>
                <w:rFonts w:ascii="Times New Roman" w:eastAsia="宋体" w:hAnsi="Times New Roman" w:cs="Times New Roman"/>
                <w:b/>
                <w:bCs/>
                <w:szCs w:val="21"/>
              </w:rPr>
              <w:t>100.00%</w:t>
            </w:r>
          </w:p>
        </w:tc>
      </w:tr>
    </w:tbl>
    <w:p w14:paraId="7D0BF80D" w14:textId="32D0A8C3"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30</w:t>
      </w:r>
      <w:r w:rsidRPr="002C0D21">
        <w:rPr>
          <w:rFonts w:ascii="Times New Roman" w:eastAsia="宋体" w:hAnsi="Times New Roman" w:cs="Times New Roman"/>
          <w:sz w:val="24"/>
          <w:szCs w:val="24"/>
        </w:rPr>
        <w:t>日，</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办理完毕本次股权转让的工商变更登记手续，并取得青岛市黄岛区行政审批服务局核发的变更后的《营业执照》。根据</w:t>
      </w:r>
      <w:proofErr w:type="gramStart"/>
      <w:r w:rsidRPr="002C0D21">
        <w:rPr>
          <w:rFonts w:ascii="Times New Roman" w:eastAsia="宋体" w:hAnsi="Times New Roman" w:cs="Times New Roman"/>
          <w:sz w:val="24"/>
          <w:szCs w:val="24"/>
        </w:rPr>
        <w:t>宸芯科</w:t>
      </w:r>
      <w:r w:rsidRPr="002C0D21">
        <w:rPr>
          <w:rFonts w:ascii="Times New Roman" w:eastAsia="宋体" w:hAnsi="Times New Roman" w:cs="Times New Roman"/>
          <w:sz w:val="24"/>
          <w:szCs w:val="24"/>
        </w:rPr>
        <w:lastRenderedPageBreak/>
        <w:t>技</w:t>
      </w:r>
      <w:proofErr w:type="gramEnd"/>
      <w:r w:rsidRPr="002C0D21">
        <w:rPr>
          <w:rFonts w:ascii="Times New Roman" w:eastAsia="宋体" w:hAnsi="Times New Roman" w:cs="Times New Roman"/>
          <w:sz w:val="24"/>
          <w:szCs w:val="24"/>
        </w:rPr>
        <w:t>提供的由其法定代表人吕东风签字并加盖公章的《宸芯科技有限公司章程修正案》，本次股权转让完成后，</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的股东及股权结构的基本情况如下表：</w:t>
      </w:r>
    </w:p>
    <w:tbl>
      <w:tblPr>
        <w:tblW w:w="52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08"/>
        <w:gridCol w:w="4667"/>
        <w:gridCol w:w="1696"/>
        <w:gridCol w:w="1556"/>
      </w:tblGrid>
      <w:tr w:rsidR="00325569" w:rsidRPr="002C0D21" w14:paraId="53D2972C" w14:textId="77777777" w:rsidTr="009D5034">
        <w:trPr>
          <w:trHeight w:val="413"/>
          <w:tblHeader/>
        </w:trPr>
        <w:tc>
          <w:tcPr>
            <w:tcW w:w="410" w:type="pct"/>
            <w:tcBorders>
              <w:top w:val="single" w:sz="12" w:space="0" w:color="auto"/>
              <w:left w:val="single" w:sz="12" w:space="0" w:color="auto"/>
            </w:tcBorders>
            <w:shd w:val="clear" w:color="auto" w:fill="auto"/>
          </w:tcPr>
          <w:p w14:paraId="6347A50D" w14:textId="77777777" w:rsidR="00325569" w:rsidRPr="009D5034" w:rsidRDefault="00325569" w:rsidP="00325569">
            <w:pPr>
              <w:spacing w:line="360" w:lineRule="auto"/>
              <w:jc w:val="center"/>
              <w:rPr>
                <w:rFonts w:ascii="Times New Roman" w:eastAsia="宋体" w:hAnsi="Times New Roman" w:cs="Times New Roman"/>
                <w:b/>
                <w:szCs w:val="21"/>
              </w:rPr>
            </w:pPr>
            <w:r w:rsidRPr="009D5034">
              <w:rPr>
                <w:rFonts w:ascii="Times New Roman" w:eastAsia="宋体" w:hAnsi="Times New Roman" w:cs="Times New Roman"/>
                <w:b/>
                <w:szCs w:val="21"/>
              </w:rPr>
              <w:t>序号</w:t>
            </w:r>
          </w:p>
        </w:tc>
        <w:tc>
          <w:tcPr>
            <w:tcW w:w="2705" w:type="pct"/>
            <w:tcBorders>
              <w:top w:val="single" w:sz="12" w:space="0" w:color="auto"/>
            </w:tcBorders>
            <w:shd w:val="clear" w:color="auto" w:fill="auto"/>
            <w:vAlign w:val="center"/>
          </w:tcPr>
          <w:p w14:paraId="4E93D22B" w14:textId="77777777" w:rsidR="00325569" w:rsidRPr="009D5034" w:rsidRDefault="00325569" w:rsidP="00325569">
            <w:pPr>
              <w:spacing w:line="360" w:lineRule="auto"/>
              <w:jc w:val="center"/>
              <w:rPr>
                <w:rFonts w:ascii="Times New Roman" w:eastAsia="宋体" w:hAnsi="Times New Roman" w:cs="Times New Roman"/>
                <w:b/>
                <w:szCs w:val="21"/>
              </w:rPr>
            </w:pPr>
            <w:r w:rsidRPr="009D5034">
              <w:rPr>
                <w:rFonts w:ascii="Times New Roman" w:eastAsia="宋体" w:hAnsi="Times New Roman" w:cs="Times New Roman"/>
                <w:b/>
                <w:szCs w:val="21"/>
              </w:rPr>
              <w:t>股东名称</w:t>
            </w:r>
          </w:p>
        </w:tc>
        <w:tc>
          <w:tcPr>
            <w:tcW w:w="983" w:type="pct"/>
            <w:tcBorders>
              <w:top w:val="single" w:sz="12" w:space="0" w:color="auto"/>
            </w:tcBorders>
            <w:shd w:val="clear" w:color="auto" w:fill="auto"/>
            <w:vAlign w:val="center"/>
          </w:tcPr>
          <w:p w14:paraId="17F28B6C" w14:textId="77777777" w:rsidR="00325569" w:rsidRPr="009D5034" w:rsidRDefault="00325569" w:rsidP="00325569">
            <w:pPr>
              <w:spacing w:line="360" w:lineRule="auto"/>
              <w:jc w:val="center"/>
              <w:rPr>
                <w:rFonts w:ascii="Times New Roman" w:eastAsia="宋体" w:hAnsi="Times New Roman" w:cs="Times New Roman"/>
                <w:b/>
                <w:szCs w:val="21"/>
              </w:rPr>
            </w:pPr>
            <w:r w:rsidRPr="009D5034">
              <w:rPr>
                <w:rFonts w:ascii="Times New Roman" w:eastAsia="宋体" w:hAnsi="Times New Roman" w:cs="Times New Roman"/>
                <w:b/>
                <w:szCs w:val="21"/>
              </w:rPr>
              <w:t>出资额（万元）</w:t>
            </w:r>
          </w:p>
        </w:tc>
        <w:tc>
          <w:tcPr>
            <w:tcW w:w="902" w:type="pct"/>
            <w:tcBorders>
              <w:top w:val="single" w:sz="12" w:space="0" w:color="auto"/>
              <w:right w:val="single" w:sz="12" w:space="0" w:color="auto"/>
            </w:tcBorders>
            <w:shd w:val="clear" w:color="auto" w:fill="auto"/>
            <w:vAlign w:val="center"/>
          </w:tcPr>
          <w:p w14:paraId="4EDB72DE" w14:textId="77777777" w:rsidR="00325569" w:rsidRPr="009D5034" w:rsidRDefault="00325569" w:rsidP="00325569">
            <w:pPr>
              <w:spacing w:line="360" w:lineRule="auto"/>
              <w:jc w:val="center"/>
              <w:rPr>
                <w:rFonts w:ascii="Times New Roman" w:eastAsia="宋体" w:hAnsi="Times New Roman" w:cs="Times New Roman"/>
                <w:b/>
                <w:szCs w:val="21"/>
              </w:rPr>
            </w:pPr>
            <w:r w:rsidRPr="009D5034">
              <w:rPr>
                <w:rFonts w:ascii="Times New Roman" w:eastAsia="宋体" w:hAnsi="Times New Roman" w:cs="Times New Roman"/>
                <w:b/>
                <w:szCs w:val="21"/>
              </w:rPr>
              <w:t>出资比例</w:t>
            </w:r>
          </w:p>
        </w:tc>
      </w:tr>
      <w:tr w:rsidR="00325569" w:rsidRPr="002C0D21" w14:paraId="03C15665" w14:textId="77777777" w:rsidTr="009D5034">
        <w:tc>
          <w:tcPr>
            <w:tcW w:w="410" w:type="pct"/>
            <w:tcBorders>
              <w:left w:val="single" w:sz="12" w:space="0" w:color="auto"/>
            </w:tcBorders>
            <w:shd w:val="clear" w:color="auto" w:fill="auto"/>
          </w:tcPr>
          <w:p w14:paraId="50FE5BBC"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w:t>
            </w:r>
          </w:p>
        </w:tc>
        <w:tc>
          <w:tcPr>
            <w:tcW w:w="2705" w:type="pct"/>
            <w:shd w:val="clear" w:color="auto" w:fill="auto"/>
            <w:vAlign w:val="center"/>
          </w:tcPr>
          <w:p w14:paraId="49121297"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电</w:t>
            </w:r>
            <w:r w:rsidRPr="009D5034">
              <w:rPr>
                <w:rFonts w:ascii="Times New Roman" w:eastAsia="宋体" w:hAnsi="Times New Roman" w:cs="Times New Roman"/>
                <w:szCs w:val="21"/>
              </w:rPr>
              <w:t>信科研院</w:t>
            </w:r>
          </w:p>
        </w:tc>
        <w:tc>
          <w:tcPr>
            <w:tcW w:w="983" w:type="pct"/>
            <w:shd w:val="clear" w:color="auto" w:fill="auto"/>
            <w:vAlign w:val="center"/>
          </w:tcPr>
          <w:p w14:paraId="555FF5C8"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40,181.7330</w:t>
            </w:r>
          </w:p>
        </w:tc>
        <w:tc>
          <w:tcPr>
            <w:tcW w:w="902" w:type="pct"/>
            <w:tcBorders>
              <w:right w:val="single" w:sz="12" w:space="0" w:color="auto"/>
            </w:tcBorders>
            <w:shd w:val="clear" w:color="auto" w:fill="auto"/>
            <w:vAlign w:val="center"/>
          </w:tcPr>
          <w:p w14:paraId="5D64EC12" w14:textId="77777777" w:rsidR="00325569" w:rsidRPr="009D5034" w:rsidRDefault="00325569" w:rsidP="00325569">
            <w:pPr>
              <w:widowControl/>
              <w:snapToGrid w:val="0"/>
              <w:spacing w:line="300" w:lineRule="auto"/>
              <w:jc w:val="right"/>
              <w:rPr>
                <w:rFonts w:ascii="Times New Roman" w:eastAsia="宋体" w:hAnsi="Times New Roman" w:cs="Times New Roman"/>
                <w:bCs/>
                <w:szCs w:val="21"/>
              </w:rPr>
            </w:pPr>
            <w:r w:rsidRPr="009D5034">
              <w:rPr>
                <w:rFonts w:ascii="Times New Roman" w:eastAsia="宋体" w:hAnsi="Times New Roman" w:cs="Times New Roman"/>
                <w:szCs w:val="21"/>
              </w:rPr>
              <w:t>25.9334%</w:t>
            </w:r>
          </w:p>
        </w:tc>
      </w:tr>
      <w:tr w:rsidR="00325569" w:rsidRPr="002C0D21" w14:paraId="7E16F22D" w14:textId="77777777" w:rsidTr="009D5034">
        <w:tc>
          <w:tcPr>
            <w:tcW w:w="410" w:type="pct"/>
            <w:tcBorders>
              <w:left w:val="single" w:sz="12" w:space="0" w:color="auto"/>
            </w:tcBorders>
            <w:shd w:val="clear" w:color="auto" w:fill="auto"/>
          </w:tcPr>
          <w:p w14:paraId="2B1C0ABA"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2</w:t>
            </w:r>
          </w:p>
        </w:tc>
        <w:tc>
          <w:tcPr>
            <w:tcW w:w="2705" w:type="pct"/>
            <w:shd w:val="clear" w:color="auto" w:fill="auto"/>
            <w:vAlign w:val="center"/>
          </w:tcPr>
          <w:p w14:paraId="6DD45796"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proofErr w:type="gramStart"/>
            <w:r w:rsidRPr="009D5034">
              <w:rPr>
                <w:rFonts w:ascii="Times New Roman" w:eastAsia="宋体" w:hAnsi="Times New Roman" w:cs="Times New Roman"/>
                <w:kern w:val="0"/>
                <w:szCs w:val="21"/>
              </w:rPr>
              <w:t>联芯科技</w:t>
            </w:r>
            <w:proofErr w:type="gramEnd"/>
          </w:p>
        </w:tc>
        <w:tc>
          <w:tcPr>
            <w:tcW w:w="983" w:type="pct"/>
            <w:shd w:val="clear" w:color="auto" w:fill="auto"/>
            <w:vAlign w:val="center"/>
          </w:tcPr>
          <w:p w14:paraId="0631036A"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3,450.8513</w:t>
            </w:r>
          </w:p>
        </w:tc>
        <w:tc>
          <w:tcPr>
            <w:tcW w:w="902" w:type="pct"/>
            <w:tcBorders>
              <w:right w:val="single" w:sz="12" w:space="0" w:color="auto"/>
            </w:tcBorders>
            <w:shd w:val="clear" w:color="auto" w:fill="auto"/>
            <w:vAlign w:val="center"/>
          </w:tcPr>
          <w:p w14:paraId="215CBEF8" w14:textId="77777777" w:rsidR="00325569" w:rsidRPr="009D5034" w:rsidRDefault="00325569" w:rsidP="00325569">
            <w:pPr>
              <w:widowControl/>
              <w:snapToGrid w:val="0"/>
              <w:spacing w:line="300" w:lineRule="auto"/>
              <w:jc w:val="right"/>
              <w:rPr>
                <w:rFonts w:ascii="Times New Roman" w:eastAsia="宋体" w:hAnsi="Times New Roman" w:cs="Times New Roman"/>
                <w:bCs/>
                <w:szCs w:val="21"/>
              </w:rPr>
            </w:pPr>
            <w:r w:rsidRPr="009D5034">
              <w:rPr>
                <w:rFonts w:ascii="Times New Roman" w:eastAsia="宋体" w:hAnsi="Times New Roman" w:cs="Times New Roman"/>
                <w:szCs w:val="21"/>
              </w:rPr>
              <w:t>2.2272%</w:t>
            </w:r>
          </w:p>
        </w:tc>
      </w:tr>
      <w:tr w:rsidR="00325569" w:rsidRPr="002C0D21" w14:paraId="50192220" w14:textId="77777777" w:rsidTr="009D5034">
        <w:tc>
          <w:tcPr>
            <w:tcW w:w="410" w:type="pct"/>
            <w:tcBorders>
              <w:left w:val="single" w:sz="12" w:space="0" w:color="auto"/>
            </w:tcBorders>
            <w:shd w:val="clear" w:color="auto" w:fill="auto"/>
          </w:tcPr>
          <w:p w14:paraId="5155B07E"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3</w:t>
            </w:r>
          </w:p>
        </w:tc>
        <w:tc>
          <w:tcPr>
            <w:tcW w:w="2705" w:type="pct"/>
            <w:shd w:val="clear" w:color="auto" w:fill="auto"/>
            <w:vAlign w:val="center"/>
          </w:tcPr>
          <w:p w14:paraId="5F60AD42"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proofErr w:type="gramStart"/>
            <w:r w:rsidRPr="009D5034">
              <w:rPr>
                <w:rFonts w:ascii="Times New Roman" w:eastAsia="宋体" w:hAnsi="Times New Roman" w:cs="Times New Roman"/>
                <w:kern w:val="0"/>
                <w:szCs w:val="21"/>
              </w:rPr>
              <w:t>大唐联诚</w:t>
            </w:r>
            <w:proofErr w:type="gramEnd"/>
            <w:r w:rsidRPr="009D5034">
              <w:rPr>
                <w:rFonts w:ascii="Times New Roman" w:eastAsia="宋体" w:hAnsi="Times New Roman" w:cs="Times New Roman"/>
                <w:kern w:val="0"/>
                <w:szCs w:val="21"/>
              </w:rPr>
              <w:t>信息系统技术有限公司</w:t>
            </w:r>
          </w:p>
        </w:tc>
        <w:tc>
          <w:tcPr>
            <w:tcW w:w="983" w:type="pct"/>
            <w:shd w:val="clear" w:color="auto" w:fill="auto"/>
            <w:vAlign w:val="center"/>
          </w:tcPr>
          <w:p w14:paraId="1AE3B4DD"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15,068.1499</w:t>
            </w:r>
          </w:p>
        </w:tc>
        <w:tc>
          <w:tcPr>
            <w:tcW w:w="902" w:type="pct"/>
            <w:tcBorders>
              <w:right w:val="single" w:sz="12" w:space="0" w:color="auto"/>
            </w:tcBorders>
            <w:shd w:val="clear" w:color="auto" w:fill="auto"/>
            <w:vAlign w:val="center"/>
          </w:tcPr>
          <w:p w14:paraId="2C9E4DBD" w14:textId="77777777" w:rsidR="00325569" w:rsidRPr="009D5034" w:rsidRDefault="00325569" w:rsidP="00325569">
            <w:pPr>
              <w:widowControl/>
              <w:snapToGrid w:val="0"/>
              <w:spacing w:line="300" w:lineRule="auto"/>
              <w:jc w:val="right"/>
              <w:rPr>
                <w:rFonts w:ascii="Times New Roman" w:eastAsia="宋体" w:hAnsi="Times New Roman" w:cs="Times New Roman"/>
                <w:bCs/>
                <w:szCs w:val="21"/>
              </w:rPr>
            </w:pPr>
            <w:r w:rsidRPr="009D5034">
              <w:rPr>
                <w:rFonts w:ascii="Times New Roman" w:eastAsia="宋体" w:hAnsi="Times New Roman" w:cs="Times New Roman"/>
                <w:szCs w:val="21"/>
              </w:rPr>
              <w:t>9.7250%</w:t>
            </w:r>
          </w:p>
        </w:tc>
      </w:tr>
      <w:tr w:rsidR="00325569" w:rsidRPr="002C0D21" w14:paraId="3F33E9B7" w14:textId="77777777" w:rsidTr="009D5034">
        <w:tc>
          <w:tcPr>
            <w:tcW w:w="410" w:type="pct"/>
            <w:tcBorders>
              <w:left w:val="single" w:sz="12" w:space="0" w:color="auto"/>
            </w:tcBorders>
            <w:shd w:val="clear" w:color="auto" w:fill="auto"/>
          </w:tcPr>
          <w:p w14:paraId="6F3F16FD"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4</w:t>
            </w:r>
          </w:p>
        </w:tc>
        <w:tc>
          <w:tcPr>
            <w:tcW w:w="2705" w:type="pct"/>
            <w:shd w:val="clear" w:color="auto" w:fill="auto"/>
            <w:vAlign w:val="center"/>
          </w:tcPr>
          <w:p w14:paraId="6261E14B"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国</w:t>
            </w:r>
            <w:proofErr w:type="gramStart"/>
            <w:r w:rsidRPr="009D5034">
              <w:rPr>
                <w:rFonts w:ascii="Times New Roman" w:eastAsia="宋体" w:hAnsi="Times New Roman" w:cs="Times New Roman"/>
                <w:kern w:val="0"/>
                <w:szCs w:val="21"/>
              </w:rPr>
              <w:t>创投资</w:t>
            </w:r>
            <w:proofErr w:type="gramEnd"/>
            <w:r w:rsidRPr="009D5034">
              <w:rPr>
                <w:rFonts w:ascii="Times New Roman" w:eastAsia="宋体" w:hAnsi="Times New Roman" w:cs="Times New Roman"/>
                <w:kern w:val="0"/>
                <w:szCs w:val="21"/>
              </w:rPr>
              <w:t>引导基金（有限合伙）</w:t>
            </w:r>
          </w:p>
        </w:tc>
        <w:tc>
          <w:tcPr>
            <w:tcW w:w="983" w:type="pct"/>
            <w:shd w:val="clear" w:color="auto" w:fill="auto"/>
            <w:vAlign w:val="center"/>
          </w:tcPr>
          <w:p w14:paraId="600CDDF9"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20,000.0000</w:t>
            </w:r>
          </w:p>
        </w:tc>
        <w:tc>
          <w:tcPr>
            <w:tcW w:w="902" w:type="pct"/>
            <w:tcBorders>
              <w:right w:val="single" w:sz="12" w:space="0" w:color="auto"/>
            </w:tcBorders>
            <w:shd w:val="clear" w:color="auto" w:fill="auto"/>
            <w:vAlign w:val="center"/>
          </w:tcPr>
          <w:p w14:paraId="68AC9097"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12.9081%</w:t>
            </w:r>
          </w:p>
        </w:tc>
      </w:tr>
      <w:tr w:rsidR="00325569" w:rsidRPr="002C0D21" w14:paraId="7585870F" w14:textId="77777777" w:rsidTr="009D5034">
        <w:tc>
          <w:tcPr>
            <w:tcW w:w="410" w:type="pct"/>
            <w:tcBorders>
              <w:left w:val="single" w:sz="12" w:space="0" w:color="auto"/>
            </w:tcBorders>
            <w:shd w:val="clear" w:color="auto" w:fill="auto"/>
          </w:tcPr>
          <w:p w14:paraId="4599EACC"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5</w:t>
            </w:r>
          </w:p>
        </w:tc>
        <w:tc>
          <w:tcPr>
            <w:tcW w:w="2705" w:type="pct"/>
            <w:shd w:val="clear" w:color="auto" w:fill="auto"/>
            <w:vAlign w:val="center"/>
          </w:tcPr>
          <w:p w14:paraId="3CD15B5E"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国新央企运营（广州）投资基金（有限合伙）</w:t>
            </w:r>
          </w:p>
        </w:tc>
        <w:tc>
          <w:tcPr>
            <w:tcW w:w="983" w:type="pct"/>
            <w:shd w:val="clear" w:color="auto" w:fill="auto"/>
            <w:vAlign w:val="center"/>
          </w:tcPr>
          <w:p w14:paraId="46AAF506" w14:textId="77777777" w:rsidR="00325569" w:rsidRPr="009D5034" w:rsidRDefault="00325569" w:rsidP="00325569">
            <w:pPr>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10,000.0000</w:t>
            </w:r>
          </w:p>
        </w:tc>
        <w:tc>
          <w:tcPr>
            <w:tcW w:w="902" w:type="pct"/>
            <w:tcBorders>
              <w:right w:val="single" w:sz="12" w:space="0" w:color="auto"/>
            </w:tcBorders>
            <w:shd w:val="clear" w:color="auto" w:fill="auto"/>
            <w:vAlign w:val="center"/>
          </w:tcPr>
          <w:p w14:paraId="2786B2C9"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6.4540%</w:t>
            </w:r>
          </w:p>
        </w:tc>
      </w:tr>
      <w:tr w:rsidR="00325569" w:rsidRPr="002C0D21" w14:paraId="724EA496" w14:textId="77777777" w:rsidTr="009D5034">
        <w:tc>
          <w:tcPr>
            <w:tcW w:w="410" w:type="pct"/>
            <w:tcBorders>
              <w:left w:val="single" w:sz="12" w:space="0" w:color="auto"/>
            </w:tcBorders>
            <w:shd w:val="clear" w:color="auto" w:fill="auto"/>
          </w:tcPr>
          <w:p w14:paraId="1E9B3393"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6</w:t>
            </w:r>
          </w:p>
        </w:tc>
        <w:tc>
          <w:tcPr>
            <w:tcW w:w="2705" w:type="pct"/>
            <w:shd w:val="clear" w:color="auto" w:fill="auto"/>
            <w:vAlign w:val="center"/>
          </w:tcPr>
          <w:p w14:paraId="4316623F"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国新双</w:t>
            </w:r>
            <w:proofErr w:type="gramStart"/>
            <w:r w:rsidRPr="009D5034">
              <w:rPr>
                <w:rFonts w:ascii="Times New Roman" w:eastAsia="宋体" w:hAnsi="Times New Roman" w:cs="Times New Roman"/>
                <w:kern w:val="0"/>
                <w:szCs w:val="21"/>
              </w:rPr>
              <w:t>百贰</w:t>
            </w:r>
            <w:proofErr w:type="gramEnd"/>
            <w:r w:rsidRPr="009D5034">
              <w:rPr>
                <w:rFonts w:ascii="Times New Roman" w:eastAsia="宋体" w:hAnsi="Times New Roman" w:cs="Times New Roman"/>
                <w:kern w:val="0"/>
                <w:szCs w:val="21"/>
              </w:rPr>
              <w:t>号（杭州）股权投资合伙企业（有限合伙）</w:t>
            </w:r>
          </w:p>
        </w:tc>
        <w:tc>
          <w:tcPr>
            <w:tcW w:w="983" w:type="pct"/>
            <w:shd w:val="clear" w:color="auto" w:fill="auto"/>
            <w:vAlign w:val="center"/>
          </w:tcPr>
          <w:p w14:paraId="4CC3EE8A"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10,000.0000</w:t>
            </w:r>
          </w:p>
        </w:tc>
        <w:tc>
          <w:tcPr>
            <w:tcW w:w="902" w:type="pct"/>
            <w:tcBorders>
              <w:right w:val="single" w:sz="12" w:space="0" w:color="auto"/>
            </w:tcBorders>
            <w:shd w:val="clear" w:color="auto" w:fill="auto"/>
            <w:vAlign w:val="center"/>
          </w:tcPr>
          <w:p w14:paraId="13A3144E"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6.4540%</w:t>
            </w:r>
          </w:p>
        </w:tc>
      </w:tr>
      <w:tr w:rsidR="00325569" w:rsidRPr="002C0D21" w14:paraId="2CE923CB" w14:textId="77777777" w:rsidTr="009D5034">
        <w:tc>
          <w:tcPr>
            <w:tcW w:w="410" w:type="pct"/>
            <w:tcBorders>
              <w:left w:val="single" w:sz="12" w:space="0" w:color="auto"/>
            </w:tcBorders>
            <w:shd w:val="clear" w:color="auto" w:fill="auto"/>
          </w:tcPr>
          <w:p w14:paraId="4E0D0DCB"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7</w:t>
            </w:r>
          </w:p>
        </w:tc>
        <w:tc>
          <w:tcPr>
            <w:tcW w:w="2705" w:type="pct"/>
            <w:shd w:val="clear" w:color="auto" w:fill="auto"/>
            <w:vAlign w:val="center"/>
          </w:tcPr>
          <w:p w14:paraId="65D715F6"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杭州华澍天</w:t>
            </w:r>
            <w:proofErr w:type="gramStart"/>
            <w:r w:rsidRPr="009D5034">
              <w:rPr>
                <w:rFonts w:ascii="Times New Roman" w:eastAsia="宋体" w:hAnsi="Times New Roman" w:cs="Times New Roman"/>
                <w:kern w:val="0"/>
                <w:szCs w:val="21"/>
              </w:rPr>
              <w:t>泽投资</w:t>
            </w:r>
            <w:proofErr w:type="gramEnd"/>
            <w:r w:rsidRPr="009D5034">
              <w:rPr>
                <w:rFonts w:ascii="Times New Roman" w:eastAsia="宋体" w:hAnsi="Times New Roman" w:cs="Times New Roman"/>
                <w:kern w:val="0"/>
                <w:szCs w:val="21"/>
              </w:rPr>
              <w:t>合伙企业（有限合伙）</w:t>
            </w:r>
          </w:p>
        </w:tc>
        <w:tc>
          <w:tcPr>
            <w:tcW w:w="983" w:type="pct"/>
            <w:shd w:val="clear" w:color="auto" w:fill="auto"/>
            <w:vAlign w:val="center"/>
          </w:tcPr>
          <w:p w14:paraId="077269D1"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9,000.0000</w:t>
            </w:r>
          </w:p>
        </w:tc>
        <w:tc>
          <w:tcPr>
            <w:tcW w:w="902" w:type="pct"/>
            <w:tcBorders>
              <w:right w:val="single" w:sz="12" w:space="0" w:color="auto"/>
            </w:tcBorders>
            <w:shd w:val="clear" w:color="auto" w:fill="auto"/>
            <w:vAlign w:val="center"/>
          </w:tcPr>
          <w:p w14:paraId="4B523C89"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5.8086%</w:t>
            </w:r>
          </w:p>
        </w:tc>
      </w:tr>
      <w:tr w:rsidR="00325569" w:rsidRPr="002C0D21" w14:paraId="3E6D81AF" w14:textId="77777777" w:rsidTr="009D5034">
        <w:tc>
          <w:tcPr>
            <w:tcW w:w="410" w:type="pct"/>
            <w:tcBorders>
              <w:left w:val="single" w:sz="12" w:space="0" w:color="auto"/>
            </w:tcBorders>
            <w:shd w:val="clear" w:color="auto" w:fill="auto"/>
          </w:tcPr>
          <w:p w14:paraId="070EFC4A"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8</w:t>
            </w:r>
          </w:p>
        </w:tc>
        <w:tc>
          <w:tcPr>
            <w:tcW w:w="2705" w:type="pct"/>
            <w:shd w:val="clear" w:color="auto" w:fill="auto"/>
            <w:vAlign w:val="center"/>
          </w:tcPr>
          <w:p w14:paraId="64F158AE"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深圳红马华清创</w:t>
            </w:r>
            <w:proofErr w:type="gramStart"/>
            <w:r w:rsidRPr="009D5034">
              <w:rPr>
                <w:rFonts w:ascii="Times New Roman" w:eastAsia="宋体" w:hAnsi="Times New Roman" w:cs="Times New Roman"/>
                <w:kern w:val="0"/>
                <w:szCs w:val="21"/>
              </w:rPr>
              <w:t>加投资</w:t>
            </w:r>
            <w:proofErr w:type="gramEnd"/>
            <w:r w:rsidRPr="009D5034">
              <w:rPr>
                <w:rFonts w:ascii="Times New Roman" w:eastAsia="宋体" w:hAnsi="Times New Roman" w:cs="Times New Roman"/>
                <w:kern w:val="0"/>
                <w:szCs w:val="21"/>
              </w:rPr>
              <w:t>中心（有限合伙）</w:t>
            </w:r>
          </w:p>
        </w:tc>
        <w:tc>
          <w:tcPr>
            <w:tcW w:w="983" w:type="pct"/>
            <w:shd w:val="clear" w:color="auto" w:fill="auto"/>
            <w:vAlign w:val="center"/>
          </w:tcPr>
          <w:p w14:paraId="19E3F516"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7,000.0000</w:t>
            </w:r>
          </w:p>
        </w:tc>
        <w:tc>
          <w:tcPr>
            <w:tcW w:w="902" w:type="pct"/>
            <w:tcBorders>
              <w:right w:val="single" w:sz="12" w:space="0" w:color="auto"/>
            </w:tcBorders>
            <w:shd w:val="clear" w:color="auto" w:fill="auto"/>
            <w:vAlign w:val="center"/>
          </w:tcPr>
          <w:p w14:paraId="593E19B8"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4.5178%</w:t>
            </w:r>
          </w:p>
        </w:tc>
      </w:tr>
      <w:tr w:rsidR="00325569" w:rsidRPr="002C0D21" w14:paraId="27EB8805" w14:textId="77777777" w:rsidTr="009D5034">
        <w:tc>
          <w:tcPr>
            <w:tcW w:w="410" w:type="pct"/>
            <w:tcBorders>
              <w:left w:val="single" w:sz="12" w:space="0" w:color="auto"/>
            </w:tcBorders>
            <w:shd w:val="clear" w:color="auto" w:fill="auto"/>
          </w:tcPr>
          <w:p w14:paraId="0A14E840"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9</w:t>
            </w:r>
          </w:p>
        </w:tc>
        <w:tc>
          <w:tcPr>
            <w:tcW w:w="2705" w:type="pct"/>
            <w:shd w:val="clear" w:color="auto" w:fill="auto"/>
            <w:vAlign w:val="center"/>
          </w:tcPr>
          <w:p w14:paraId="5F1E9246"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上海泽晟投资有限公司</w:t>
            </w:r>
          </w:p>
        </w:tc>
        <w:tc>
          <w:tcPr>
            <w:tcW w:w="983" w:type="pct"/>
            <w:shd w:val="clear" w:color="auto" w:fill="auto"/>
            <w:vAlign w:val="center"/>
          </w:tcPr>
          <w:p w14:paraId="32DE7C05" w14:textId="77777777" w:rsidR="00325569" w:rsidRPr="009D5034" w:rsidRDefault="00325569" w:rsidP="00325569">
            <w:pPr>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2,000.0000</w:t>
            </w:r>
          </w:p>
        </w:tc>
        <w:tc>
          <w:tcPr>
            <w:tcW w:w="902" w:type="pct"/>
            <w:tcBorders>
              <w:right w:val="single" w:sz="12" w:space="0" w:color="auto"/>
            </w:tcBorders>
            <w:shd w:val="clear" w:color="auto" w:fill="auto"/>
            <w:vAlign w:val="center"/>
          </w:tcPr>
          <w:p w14:paraId="1C489792"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1.2908%</w:t>
            </w:r>
          </w:p>
        </w:tc>
      </w:tr>
      <w:tr w:rsidR="00325569" w:rsidRPr="002C0D21" w14:paraId="028E989E" w14:textId="77777777" w:rsidTr="009D5034">
        <w:tc>
          <w:tcPr>
            <w:tcW w:w="410" w:type="pct"/>
            <w:tcBorders>
              <w:left w:val="single" w:sz="12" w:space="0" w:color="auto"/>
            </w:tcBorders>
            <w:shd w:val="clear" w:color="auto" w:fill="auto"/>
          </w:tcPr>
          <w:p w14:paraId="11CDE257"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10</w:t>
            </w:r>
          </w:p>
        </w:tc>
        <w:tc>
          <w:tcPr>
            <w:tcW w:w="2705" w:type="pct"/>
            <w:shd w:val="clear" w:color="auto" w:fill="auto"/>
            <w:vAlign w:val="center"/>
          </w:tcPr>
          <w:p w14:paraId="2270D1C3"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青岛</w:t>
            </w:r>
            <w:proofErr w:type="gramStart"/>
            <w:r w:rsidRPr="009D5034">
              <w:rPr>
                <w:rFonts w:ascii="Times New Roman" w:eastAsia="宋体" w:hAnsi="Times New Roman" w:cs="Times New Roman"/>
                <w:kern w:val="0"/>
                <w:szCs w:val="21"/>
              </w:rPr>
              <w:t>孚泽投资</w:t>
            </w:r>
            <w:proofErr w:type="gramEnd"/>
            <w:r w:rsidRPr="009D5034">
              <w:rPr>
                <w:rFonts w:ascii="Times New Roman" w:eastAsia="宋体" w:hAnsi="Times New Roman" w:cs="Times New Roman"/>
                <w:kern w:val="0"/>
                <w:szCs w:val="21"/>
              </w:rPr>
              <w:t>合伙企业（有限合伙）</w:t>
            </w:r>
          </w:p>
        </w:tc>
        <w:tc>
          <w:tcPr>
            <w:tcW w:w="983" w:type="pct"/>
            <w:shd w:val="clear" w:color="auto" w:fill="auto"/>
            <w:vAlign w:val="center"/>
          </w:tcPr>
          <w:p w14:paraId="5D2BFB7B" w14:textId="77777777" w:rsidR="00325569" w:rsidRPr="009D5034" w:rsidRDefault="00325569" w:rsidP="00325569">
            <w:pPr>
              <w:spacing w:before="120" w:after="120"/>
              <w:jc w:val="right"/>
              <w:textAlignment w:val="center"/>
              <w:rPr>
                <w:rFonts w:ascii="Times New Roman" w:eastAsia="宋体" w:hAnsi="Times New Roman" w:cs="Times New Roman"/>
                <w:szCs w:val="21"/>
              </w:rPr>
            </w:pPr>
            <w:r w:rsidRPr="009D5034">
              <w:rPr>
                <w:rFonts w:ascii="Times New Roman" w:eastAsia="宋体" w:hAnsi="Times New Roman" w:cs="Times New Roman"/>
                <w:color w:val="000000"/>
                <w:kern w:val="0"/>
                <w:szCs w:val="21"/>
                <w:lang w:bidi="ar"/>
              </w:rPr>
              <w:t>14,999.9999</w:t>
            </w:r>
          </w:p>
        </w:tc>
        <w:tc>
          <w:tcPr>
            <w:tcW w:w="902" w:type="pct"/>
            <w:tcBorders>
              <w:right w:val="single" w:sz="12" w:space="0" w:color="auto"/>
            </w:tcBorders>
            <w:shd w:val="clear" w:color="auto" w:fill="auto"/>
            <w:vAlign w:val="center"/>
          </w:tcPr>
          <w:p w14:paraId="7B5B8F1F" w14:textId="77777777" w:rsidR="00325569" w:rsidRPr="009D5034" w:rsidRDefault="00325569" w:rsidP="00325569">
            <w:pPr>
              <w:jc w:val="right"/>
              <w:rPr>
                <w:rFonts w:ascii="Times New Roman" w:eastAsia="宋体" w:hAnsi="Times New Roman" w:cs="Times New Roman"/>
                <w:szCs w:val="21"/>
                <w:lang w:bidi="ar"/>
              </w:rPr>
            </w:pPr>
            <w:r w:rsidRPr="009D5034">
              <w:rPr>
                <w:rFonts w:ascii="Times New Roman" w:eastAsia="宋体" w:hAnsi="Times New Roman" w:cs="Times New Roman"/>
                <w:szCs w:val="21"/>
              </w:rPr>
              <w:t>9.6810%</w:t>
            </w:r>
          </w:p>
        </w:tc>
      </w:tr>
      <w:tr w:rsidR="00325569" w:rsidRPr="002C0D21" w14:paraId="2116D8DD" w14:textId="77777777" w:rsidTr="009D5034">
        <w:tc>
          <w:tcPr>
            <w:tcW w:w="410" w:type="pct"/>
            <w:tcBorders>
              <w:left w:val="single" w:sz="12" w:space="0" w:color="auto"/>
            </w:tcBorders>
            <w:shd w:val="clear" w:color="auto" w:fill="auto"/>
          </w:tcPr>
          <w:p w14:paraId="33819EB8"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11</w:t>
            </w:r>
          </w:p>
        </w:tc>
        <w:tc>
          <w:tcPr>
            <w:tcW w:w="2705" w:type="pct"/>
            <w:shd w:val="clear" w:color="auto" w:fill="auto"/>
            <w:vAlign w:val="center"/>
          </w:tcPr>
          <w:p w14:paraId="0EB2D0F7"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浙江制造基金合伙企业（有限合伙）</w:t>
            </w:r>
          </w:p>
        </w:tc>
        <w:tc>
          <w:tcPr>
            <w:tcW w:w="983" w:type="pct"/>
            <w:shd w:val="clear" w:color="auto" w:fill="auto"/>
            <w:vAlign w:val="center"/>
          </w:tcPr>
          <w:p w14:paraId="7D074F38"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4,201.7182</w:t>
            </w:r>
          </w:p>
        </w:tc>
        <w:tc>
          <w:tcPr>
            <w:tcW w:w="902" w:type="pct"/>
            <w:tcBorders>
              <w:right w:val="single" w:sz="12" w:space="0" w:color="auto"/>
            </w:tcBorders>
            <w:shd w:val="clear" w:color="auto" w:fill="auto"/>
            <w:vAlign w:val="center"/>
          </w:tcPr>
          <w:p w14:paraId="1C772017"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2.7118%</w:t>
            </w:r>
          </w:p>
        </w:tc>
      </w:tr>
      <w:tr w:rsidR="00325569" w:rsidRPr="002C0D21" w14:paraId="19F5E96F" w14:textId="77777777" w:rsidTr="009D5034">
        <w:tc>
          <w:tcPr>
            <w:tcW w:w="410" w:type="pct"/>
            <w:tcBorders>
              <w:left w:val="single" w:sz="12" w:space="0" w:color="auto"/>
            </w:tcBorders>
            <w:shd w:val="clear" w:color="auto" w:fill="auto"/>
          </w:tcPr>
          <w:p w14:paraId="048A6D35"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12</w:t>
            </w:r>
          </w:p>
        </w:tc>
        <w:tc>
          <w:tcPr>
            <w:tcW w:w="2705" w:type="pct"/>
            <w:shd w:val="clear" w:color="auto" w:fill="auto"/>
            <w:vAlign w:val="center"/>
          </w:tcPr>
          <w:p w14:paraId="4D8C3257"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深圳市红马全晟投资中心（有限合伙）</w:t>
            </w:r>
          </w:p>
        </w:tc>
        <w:tc>
          <w:tcPr>
            <w:tcW w:w="983" w:type="pct"/>
            <w:shd w:val="clear" w:color="auto" w:fill="auto"/>
            <w:vAlign w:val="center"/>
          </w:tcPr>
          <w:p w14:paraId="16741444"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1,680.6563</w:t>
            </w:r>
          </w:p>
        </w:tc>
        <w:tc>
          <w:tcPr>
            <w:tcW w:w="902" w:type="pct"/>
            <w:tcBorders>
              <w:right w:val="single" w:sz="12" w:space="0" w:color="auto"/>
            </w:tcBorders>
            <w:shd w:val="clear" w:color="auto" w:fill="auto"/>
            <w:vAlign w:val="center"/>
          </w:tcPr>
          <w:p w14:paraId="7E3A3450"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1.0847%</w:t>
            </w:r>
          </w:p>
        </w:tc>
      </w:tr>
      <w:tr w:rsidR="00325569" w:rsidRPr="002C0D21" w14:paraId="2B2DEDC3" w14:textId="77777777" w:rsidTr="009D5034">
        <w:tc>
          <w:tcPr>
            <w:tcW w:w="410" w:type="pct"/>
            <w:tcBorders>
              <w:left w:val="single" w:sz="12" w:space="0" w:color="auto"/>
            </w:tcBorders>
            <w:shd w:val="clear" w:color="auto" w:fill="auto"/>
          </w:tcPr>
          <w:p w14:paraId="0A091148"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13</w:t>
            </w:r>
          </w:p>
        </w:tc>
        <w:tc>
          <w:tcPr>
            <w:tcW w:w="2705" w:type="pct"/>
            <w:shd w:val="clear" w:color="auto" w:fill="auto"/>
            <w:vAlign w:val="center"/>
          </w:tcPr>
          <w:p w14:paraId="18E8B559"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北京楚星融智咨询有限公司</w:t>
            </w:r>
          </w:p>
        </w:tc>
        <w:tc>
          <w:tcPr>
            <w:tcW w:w="983" w:type="pct"/>
            <w:shd w:val="clear" w:color="auto" w:fill="auto"/>
            <w:vAlign w:val="center"/>
          </w:tcPr>
          <w:p w14:paraId="3281E808"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840.4056</w:t>
            </w:r>
          </w:p>
        </w:tc>
        <w:tc>
          <w:tcPr>
            <w:tcW w:w="902" w:type="pct"/>
            <w:tcBorders>
              <w:right w:val="single" w:sz="12" w:space="0" w:color="auto"/>
            </w:tcBorders>
            <w:shd w:val="clear" w:color="auto" w:fill="auto"/>
            <w:vAlign w:val="center"/>
          </w:tcPr>
          <w:p w14:paraId="3CAF466F"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0.5424%</w:t>
            </w:r>
          </w:p>
        </w:tc>
      </w:tr>
      <w:tr w:rsidR="00325569" w:rsidRPr="002C0D21" w14:paraId="748D2165" w14:textId="77777777" w:rsidTr="009D5034">
        <w:tc>
          <w:tcPr>
            <w:tcW w:w="410" w:type="pct"/>
            <w:tcBorders>
              <w:left w:val="single" w:sz="12" w:space="0" w:color="auto"/>
            </w:tcBorders>
            <w:shd w:val="clear" w:color="auto" w:fill="auto"/>
          </w:tcPr>
          <w:p w14:paraId="1C0718B9"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14</w:t>
            </w:r>
          </w:p>
        </w:tc>
        <w:tc>
          <w:tcPr>
            <w:tcW w:w="2705" w:type="pct"/>
            <w:shd w:val="clear" w:color="auto" w:fill="auto"/>
            <w:vAlign w:val="center"/>
          </w:tcPr>
          <w:p w14:paraId="574C449A"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日照</w:t>
            </w:r>
            <w:proofErr w:type="gramStart"/>
            <w:r w:rsidRPr="009D5034">
              <w:rPr>
                <w:rFonts w:ascii="Times New Roman" w:eastAsia="宋体" w:hAnsi="Times New Roman" w:cs="Times New Roman"/>
                <w:kern w:val="0"/>
                <w:szCs w:val="21"/>
              </w:rPr>
              <w:t>宸睿</w:t>
            </w:r>
            <w:proofErr w:type="gramEnd"/>
            <w:r w:rsidRPr="009D5034">
              <w:rPr>
                <w:rFonts w:ascii="Times New Roman" w:eastAsia="宋体" w:hAnsi="Times New Roman" w:cs="Times New Roman"/>
                <w:kern w:val="0"/>
                <w:szCs w:val="21"/>
              </w:rPr>
              <w:t>联合一期股权投资管理中心（有限合伙）</w:t>
            </w:r>
          </w:p>
        </w:tc>
        <w:tc>
          <w:tcPr>
            <w:tcW w:w="983" w:type="pct"/>
            <w:shd w:val="clear" w:color="auto" w:fill="auto"/>
            <w:vAlign w:val="center"/>
          </w:tcPr>
          <w:p w14:paraId="23F0A828"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840.4056</w:t>
            </w:r>
          </w:p>
        </w:tc>
        <w:tc>
          <w:tcPr>
            <w:tcW w:w="902" w:type="pct"/>
            <w:tcBorders>
              <w:right w:val="single" w:sz="12" w:space="0" w:color="auto"/>
            </w:tcBorders>
            <w:shd w:val="clear" w:color="auto" w:fill="auto"/>
            <w:vAlign w:val="center"/>
          </w:tcPr>
          <w:p w14:paraId="626FC2B2"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0.5424%</w:t>
            </w:r>
          </w:p>
        </w:tc>
      </w:tr>
      <w:tr w:rsidR="00325569" w:rsidRPr="002C0D21" w14:paraId="139B3490" w14:textId="77777777" w:rsidTr="009D5034">
        <w:tc>
          <w:tcPr>
            <w:tcW w:w="410" w:type="pct"/>
            <w:tcBorders>
              <w:left w:val="single" w:sz="12" w:space="0" w:color="auto"/>
            </w:tcBorders>
            <w:shd w:val="clear" w:color="auto" w:fill="auto"/>
          </w:tcPr>
          <w:p w14:paraId="65470DC2"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15</w:t>
            </w:r>
          </w:p>
        </w:tc>
        <w:tc>
          <w:tcPr>
            <w:tcW w:w="2705" w:type="pct"/>
            <w:shd w:val="clear" w:color="auto" w:fill="auto"/>
            <w:vAlign w:val="center"/>
          </w:tcPr>
          <w:p w14:paraId="71E7C53B"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南京</w:t>
            </w:r>
            <w:proofErr w:type="gramStart"/>
            <w:r w:rsidRPr="009D5034">
              <w:rPr>
                <w:rFonts w:ascii="Times New Roman" w:eastAsia="宋体" w:hAnsi="Times New Roman" w:cs="Times New Roman"/>
                <w:kern w:val="0"/>
                <w:szCs w:val="21"/>
              </w:rPr>
              <w:t>翎贲昭离</w:t>
            </w:r>
            <w:proofErr w:type="gramEnd"/>
            <w:r w:rsidRPr="009D5034">
              <w:rPr>
                <w:rFonts w:ascii="Times New Roman" w:eastAsia="宋体" w:hAnsi="Times New Roman" w:cs="Times New Roman"/>
                <w:kern w:val="0"/>
                <w:szCs w:val="21"/>
              </w:rPr>
              <w:t>股权投资合伙企业（有限合伙）</w:t>
            </w:r>
          </w:p>
        </w:tc>
        <w:tc>
          <w:tcPr>
            <w:tcW w:w="983" w:type="pct"/>
            <w:shd w:val="clear" w:color="auto" w:fill="auto"/>
            <w:vAlign w:val="center"/>
          </w:tcPr>
          <w:p w14:paraId="63866F01"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10,084.0928</w:t>
            </w:r>
          </w:p>
        </w:tc>
        <w:tc>
          <w:tcPr>
            <w:tcW w:w="902" w:type="pct"/>
            <w:tcBorders>
              <w:right w:val="single" w:sz="12" w:space="0" w:color="auto"/>
            </w:tcBorders>
            <w:shd w:val="clear" w:color="auto" w:fill="auto"/>
            <w:vAlign w:val="center"/>
          </w:tcPr>
          <w:p w14:paraId="375D5BE5"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6.5083%</w:t>
            </w:r>
          </w:p>
        </w:tc>
      </w:tr>
      <w:tr w:rsidR="00325569" w:rsidRPr="002C0D21" w14:paraId="56F57A3D" w14:textId="77777777" w:rsidTr="009D5034">
        <w:tc>
          <w:tcPr>
            <w:tcW w:w="410" w:type="pct"/>
            <w:tcBorders>
              <w:left w:val="single" w:sz="12" w:space="0" w:color="auto"/>
            </w:tcBorders>
            <w:shd w:val="clear" w:color="auto" w:fill="auto"/>
          </w:tcPr>
          <w:p w14:paraId="443C4005"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16</w:t>
            </w:r>
          </w:p>
        </w:tc>
        <w:tc>
          <w:tcPr>
            <w:tcW w:w="2705" w:type="pct"/>
            <w:shd w:val="clear" w:color="auto" w:fill="auto"/>
            <w:vAlign w:val="center"/>
          </w:tcPr>
          <w:p w14:paraId="5670D323"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天津</w:t>
            </w:r>
            <w:proofErr w:type="gramStart"/>
            <w:r w:rsidRPr="009D5034">
              <w:rPr>
                <w:rFonts w:ascii="Times New Roman" w:eastAsia="宋体" w:hAnsi="Times New Roman" w:cs="Times New Roman"/>
                <w:kern w:val="0"/>
                <w:szCs w:val="21"/>
              </w:rPr>
              <w:t>维致瑾</w:t>
            </w:r>
            <w:proofErr w:type="gramEnd"/>
            <w:r w:rsidRPr="009D5034">
              <w:rPr>
                <w:rFonts w:ascii="Times New Roman" w:eastAsia="宋体" w:hAnsi="Times New Roman" w:cs="Times New Roman"/>
                <w:kern w:val="0"/>
                <w:szCs w:val="21"/>
              </w:rPr>
              <w:t>企业管理咨询中心（有限合伙）</w:t>
            </w:r>
          </w:p>
        </w:tc>
        <w:tc>
          <w:tcPr>
            <w:tcW w:w="983" w:type="pct"/>
            <w:shd w:val="clear" w:color="auto" w:fill="auto"/>
            <w:vAlign w:val="center"/>
          </w:tcPr>
          <w:p w14:paraId="4160BEF4"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2,520.9070</w:t>
            </w:r>
          </w:p>
        </w:tc>
        <w:tc>
          <w:tcPr>
            <w:tcW w:w="902" w:type="pct"/>
            <w:tcBorders>
              <w:right w:val="single" w:sz="12" w:space="0" w:color="auto"/>
            </w:tcBorders>
            <w:shd w:val="clear" w:color="auto" w:fill="auto"/>
            <w:vAlign w:val="center"/>
          </w:tcPr>
          <w:p w14:paraId="378A7D4B"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1.6270%</w:t>
            </w:r>
          </w:p>
        </w:tc>
      </w:tr>
      <w:tr w:rsidR="00325569" w:rsidRPr="002C0D21" w14:paraId="3E7F4EBF" w14:textId="77777777" w:rsidTr="009D5034">
        <w:tc>
          <w:tcPr>
            <w:tcW w:w="410" w:type="pct"/>
            <w:tcBorders>
              <w:left w:val="single" w:sz="12" w:space="0" w:color="auto"/>
            </w:tcBorders>
            <w:shd w:val="clear" w:color="auto" w:fill="auto"/>
          </w:tcPr>
          <w:p w14:paraId="225F67C1"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17</w:t>
            </w:r>
          </w:p>
        </w:tc>
        <w:tc>
          <w:tcPr>
            <w:tcW w:w="2705" w:type="pct"/>
            <w:shd w:val="clear" w:color="auto" w:fill="auto"/>
            <w:vAlign w:val="center"/>
          </w:tcPr>
          <w:p w14:paraId="411C18AD"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创新创业新动能股权投资基金（湖北）合伙企业（有限合伙）</w:t>
            </w:r>
          </w:p>
        </w:tc>
        <w:tc>
          <w:tcPr>
            <w:tcW w:w="983" w:type="pct"/>
            <w:shd w:val="clear" w:color="auto" w:fill="auto"/>
            <w:vAlign w:val="center"/>
          </w:tcPr>
          <w:p w14:paraId="6DEB7C36"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2,520.9070</w:t>
            </w:r>
          </w:p>
        </w:tc>
        <w:tc>
          <w:tcPr>
            <w:tcW w:w="902" w:type="pct"/>
            <w:tcBorders>
              <w:right w:val="single" w:sz="12" w:space="0" w:color="auto"/>
            </w:tcBorders>
            <w:shd w:val="clear" w:color="auto" w:fill="auto"/>
            <w:vAlign w:val="center"/>
          </w:tcPr>
          <w:p w14:paraId="7E091BE0"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1.6270%</w:t>
            </w:r>
          </w:p>
        </w:tc>
      </w:tr>
      <w:tr w:rsidR="00325569" w:rsidRPr="002C0D21" w14:paraId="345BB1CF" w14:textId="77777777" w:rsidTr="009D5034">
        <w:tc>
          <w:tcPr>
            <w:tcW w:w="410" w:type="pct"/>
            <w:tcBorders>
              <w:left w:val="single" w:sz="12" w:space="0" w:color="auto"/>
            </w:tcBorders>
            <w:shd w:val="clear" w:color="auto" w:fill="auto"/>
          </w:tcPr>
          <w:p w14:paraId="34FCBE4B" w14:textId="77777777" w:rsidR="00325569" w:rsidRPr="009D5034" w:rsidRDefault="00325569" w:rsidP="00325569">
            <w:pPr>
              <w:widowControl/>
              <w:snapToGrid w:val="0"/>
              <w:spacing w:before="120" w:after="120"/>
              <w:jc w:val="center"/>
              <w:rPr>
                <w:rFonts w:ascii="Times New Roman" w:eastAsia="宋体" w:hAnsi="Times New Roman" w:cs="Times New Roman"/>
                <w:kern w:val="0"/>
                <w:szCs w:val="21"/>
              </w:rPr>
            </w:pPr>
            <w:r w:rsidRPr="009D5034">
              <w:rPr>
                <w:rFonts w:ascii="Times New Roman" w:eastAsia="宋体" w:hAnsi="Times New Roman" w:cs="Times New Roman"/>
                <w:kern w:val="0"/>
                <w:szCs w:val="21"/>
              </w:rPr>
              <w:t>18</w:t>
            </w:r>
          </w:p>
        </w:tc>
        <w:tc>
          <w:tcPr>
            <w:tcW w:w="2705" w:type="pct"/>
            <w:shd w:val="clear" w:color="auto" w:fill="auto"/>
            <w:vAlign w:val="center"/>
          </w:tcPr>
          <w:p w14:paraId="5F1D12F8" w14:textId="77777777" w:rsidR="00325569" w:rsidRPr="009D5034" w:rsidRDefault="00325569" w:rsidP="00D22EFC">
            <w:pPr>
              <w:widowControl/>
              <w:snapToGrid w:val="0"/>
              <w:spacing w:before="120" w:after="120"/>
              <w:jc w:val="left"/>
              <w:rPr>
                <w:rFonts w:ascii="Times New Roman" w:eastAsia="宋体" w:hAnsi="Times New Roman" w:cs="Times New Roman"/>
                <w:kern w:val="0"/>
                <w:szCs w:val="21"/>
              </w:rPr>
            </w:pPr>
            <w:r w:rsidRPr="009D5034">
              <w:rPr>
                <w:rFonts w:ascii="Times New Roman" w:eastAsia="宋体" w:hAnsi="Times New Roman" w:cs="Times New Roman"/>
                <w:kern w:val="0"/>
                <w:szCs w:val="21"/>
              </w:rPr>
              <w:t>北京紫岩连合科技有限公司</w:t>
            </w:r>
          </w:p>
        </w:tc>
        <w:tc>
          <w:tcPr>
            <w:tcW w:w="983" w:type="pct"/>
            <w:shd w:val="clear" w:color="auto" w:fill="auto"/>
            <w:vAlign w:val="center"/>
          </w:tcPr>
          <w:p w14:paraId="796D981F" w14:textId="77777777" w:rsidR="00325569" w:rsidRPr="009D5034" w:rsidRDefault="00325569" w:rsidP="00325569">
            <w:pPr>
              <w:spacing w:before="120" w:after="120"/>
              <w:jc w:val="right"/>
              <w:textAlignment w:val="center"/>
              <w:rPr>
                <w:rFonts w:ascii="Times New Roman" w:eastAsia="宋体" w:hAnsi="Times New Roman" w:cs="Times New Roman"/>
                <w:color w:val="000000"/>
                <w:kern w:val="0"/>
                <w:szCs w:val="21"/>
                <w:lang w:bidi="ar"/>
              </w:rPr>
            </w:pPr>
            <w:r w:rsidRPr="009D5034">
              <w:rPr>
                <w:rFonts w:ascii="Times New Roman" w:eastAsia="宋体" w:hAnsi="Times New Roman" w:cs="Times New Roman"/>
                <w:color w:val="000000"/>
                <w:kern w:val="0"/>
                <w:szCs w:val="21"/>
                <w:lang w:bidi="ar"/>
              </w:rPr>
              <w:t>552.2134</w:t>
            </w:r>
          </w:p>
        </w:tc>
        <w:tc>
          <w:tcPr>
            <w:tcW w:w="902" w:type="pct"/>
            <w:tcBorders>
              <w:right w:val="single" w:sz="12" w:space="0" w:color="auto"/>
            </w:tcBorders>
            <w:shd w:val="clear" w:color="auto" w:fill="auto"/>
            <w:vAlign w:val="center"/>
          </w:tcPr>
          <w:p w14:paraId="7C71C9E8" w14:textId="77777777" w:rsidR="00325569" w:rsidRPr="009D5034" w:rsidRDefault="00325569" w:rsidP="00325569">
            <w:pPr>
              <w:jc w:val="right"/>
              <w:rPr>
                <w:rFonts w:ascii="Times New Roman" w:eastAsia="宋体" w:hAnsi="Times New Roman" w:cs="Times New Roman"/>
                <w:szCs w:val="21"/>
              </w:rPr>
            </w:pPr>
            <w:r w:rsidRPr="009D5034">
              <w:rPr>
                <w:rFonts w:ascii="Times New Roman" w:eastAsia="宋体" w:hAnsi="Times New Roman" w:cs="Times New Roman"/>
                <w:szCs w:val="21"/>
              </w:rPr>
              <w:t>0.3564%</w:t>
            </w:r>
          </w:p>
        </w:tc>
      </w:tr>
      <w:tr w:rsidR="00325569" w:rsidRPr="002C0D21" w14:paraId="2F972889" w14:textId="77777777" w:rsidTr="009D5034">
        <w:tc>
          <w:tcPr>
            <w:tcW w:w="3115" w:type="pct"/>
            <w:gridSpan w:val="2"/>
            <w:tcBorders>
              <w:left w:val="single" w:sz="12" w:space="0" w:color="auto"/>
              <w:bottom w:val="single" w:sz="12" w:space="0" w:color="auto"/>
            </w:tcBorders>
            <w:shd w:val="clear" w:color="auto" w:fill="auto"/>
          </w:tcPr>
          <w:p w14:paraId="3CC114A9" w14:textId="4226407F" w:rsidR="00325569" w:rsidRPr="009D5034" w:rsidRDefault="00325569" w:rsidP="00325569">
            <w:pPr>
              <w:spacing w:before="120" w:after="120"/>
              <w:jc w:val="center"/>
              <w:rPr>
                <w:rFonts w:ascii="Times New Roman" w:eastAsia="宋体" w:hAnsi="Times New Roman" w:cs="Times New Roman"/>
                <w:b/>
                <w:bCs/>
                <w:szCs w:val="21"/>
              </w:rPr>
            </w:pPr>
            <w:r w:rsidRPr="009D5034">
              <w:rPr>
                <w:rFonts w:ascii="Times New Roman" w:eastAsia="宋体" w:hAnsi="Times New Roman" w:cs="Times New Roman"/>
                <w:b/>
                <w:bCs/>
                <w:szCs w:val="21"/>
              </w:rPr>
              <w:t>合计</w:t>
            </w:r>
          </w:p>
        </w:tc>
        <w:tc>
          <w:tcPr>
            <w:tcW w:w="983" w:type="pct"/>
            <w:tcBorders>
              <w:bottom w:val="single" w:sz="12" w:space="0" w:color="auto"/>
            </w:tcBorders>
            <w:shd w:val="clear" w:color="auto" w:fill="auto"/>
            <w:vAlign w:val="center"/>
          </w:tcPr>
          <w:p w14:paraId="564275A7" w14:textId="77777777" w:rsidR="00325569" w:rsidRPr="009D5034" w:rsidRDefault="00325569" w:rsidP="00325569">
            <w:pPr>
              <w:spacing w:before="120" w:after="120"/>
              <w:jc w:val="right"/>
              <w:rPr>
                <w:rFonts w:ascii="Times New Roman" w:eastAsia="宋体" w:hAnsi="Times New Roman" w:cs="Times New Roman"/>
                <w:b/>
                <w:bCs/>
                <w:szCs w:val="21"/>
              </w:rPr>
            </w:pPr>
            <w:r w:rsidRPr="009D5034">
              <w:rPr>
                <w:rFonts w:ascii="Times New Roman" w:eastAsia="宋体" w:hAnsi="Times New Roman" w:cs="Times New Roman"/>
                <w:b/>
                <w:bCs/>
                <w:color w:val="000000"/>
                <w:kern w:val="0"/>
                <w:szCs w:val="21"/>
                <w:lang w:bidi="ar"/>
              </w:rPr>
              <w:t>154,942.0400</w:t>
            </w:r>
          </w:p>
        </w:tc>
        <w:tc>
          <w:tcPr>
            <w:tcW w:w="902" w:type="pct"/>
            <w:tcBorders>
              <w:bottom w:val="single" w:sz="12" w:space="0" w:color="auto"/>
              <w:right w:val="single" w:sz="12" w:space="0" w:color="auto"/>
            </w:tcBorders>
            <w:shd w:val="clear" w:color="auto" w:fill="auto"/>
            <w:vAlign w:val="center"/>
          </w:tcPr>
          <w:p w14:paraId="4EA874D7" w14:textId="77777777" w:rsidR="00325569" w:rsidRPr="009D5034" w:rsidRDefault="00325569" w:rsidP="00325569">
            <w:pPr>
              <w:jc w:val="right"/>
              <w:rPr>
                <w:rFonts w:ascii="Times New Roman" w:eastAsia="宋体" w:hAnsi="Times New Roman" w:cs="Times New Roman"/>
                <w:b/>
                <w:bCs/>
                <w:szCs w:val="21"/>
                <w:lang w:bidi="ar"/>
              </w:rPr>
            </w:pPr>
            <w:r w:rsidRPr="009D5034">
              <w:rPr>
                <w:rFonts w:ascii="Times New Roman" w:eastAsia="宋体" w:hAnsi="Times New Roman" w:cs="Times New Roman"/>
                <w:b/>
                <w:bCs/>
                <w:szCs w:val="21"/>
                <w:lang w:bidi="ar"/>
              </w:rPr>
              <w:t>100.0000%</w:t>
            </w:r>
          </w:p>
        </w:tc>
      </w:tr>
    </w:tbl>
    <w:p w14:paraId="25C59F11" w14:textId="153B087F" w:rsidR="00325569" w:rsidRPr="007D16DB" w:rsidRDefault="00D352BB" w:rsidP="007D16DB">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lastRenderedPageBreak/>
        <w:t>2、</w:t>
      </w:r>
      <w:r w:rsidR="00325569" w:rsidRPr="007D16DB">
        <w:rPr>
          <w:rFonts w:ascii="宋体" w:eastAsia="宋体" w:hAnsi="宋体" w:hint="eastAsia"/>
          <w:b/>
          <w:bCs/>
          <w:sz w:val="24"/>
          <w:szCs w:val="24"/>
        </w:rPr>
        <w:t>交易价款的支付情况</w:t>
      </w:r>
    </w:p>
    <w:p w14:paraId="059DA998" w14:textId="603A0832"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大唐</w:t>
      </w:r>
      <w:proofErr w:type="gramStart"/>
      <w:r w:rsidRPr="002C0D21">
        <w:rPr>
          <w:rFonts w:ascii="Times New Roman" w:eastAsia="宋体" w:hAnsi="Times New Roman" w:cs="Times New Roman"/>
          <w:sz w:val="24"/>
          <w:szCs w:val="24"/>
        </w:rPr>
        <w:t>恩智浦与恩智浦</w:t>
      </w:r>
      <w:proofErr w:type="gramEnd"/>
      <w:r w:rsidRPr="002C0D21">
        <w:rPr>
          <w:rFonts w:ascii="Times New Roman" w:eastAsia="宋体" w:hAnsi="Times New Roman" w:cs="Times New Roman"/>
          <w:sz w:val="24"/>
          <w:szCs w:val="24"/>
        </w:rPr>
        <w:t>、大唐半导体、徐州汽车基金签署的《大唐恩智浦增资协议》已于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21</w:t>
      </w:r>
      <w:r w:rsidRPr="002C0D21">
        <w:rPr>
          <w:rFonts w:ascii="Times New Roman" w:eastAsia="宋体" w:hAnsi="Times New Roman" w:cs="Times New Roman"/>
          <w:sz w:val="24"/>
          <w:szCs w:val="24"/>
        </w:rPr>
        <w:t>日生效，协议约定本次交易价款分三次交割，其中首次交割日期为</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29</w:t>
      </w:r>
      <w:r w:rsidRPr="002C0D21">
        <w:rPr>
          <w:rFonts w:ascii="Times New Roman" w:eastAsia="宋体" w:hAnsi="Times New Roman" w:cs="Times New Roman"/>
          <w:sz w:val="24"/>
          <w:szCs w:val="24"/>
        </w:rPr>
        <w:t>日，首次交割金额为</w:t>
      </w:r>
      <w:r w:rsidRPr="002C0D21">
        <w:rPr>
          <w:rFonts w:ascii="Times New Roman" w:eastAsia="宋体" w:hAnsi="Times New Roman" w:cs="Times New Roman"/>
          <w:sz w:val="24"/>
          <w:szCs w:val="24"/>
        </w:rPr>
        <w:t>1,300</w:t>
      </w:r>
      <w:r w:rsidRPr="002C0D21">
        <w:rPr>
          <w:rFonts w:ascii="Times New Roman" w:eastAsia="宋体" w:hAnsi="Times New Roman" w:cs="Times New Roman"/>
          <w:sz w:val="24"/>
          <w:szCs w:val="24"/>
        </w:rPr>
        <w:t>万美元，并在分别满足第二次、第三次交割条件时进行后续交割。截至本</w:t>
      </w:r>
      <w:r w:rsidR="009C2B39">
        <w:rPr>
          <w:rFonts w:ascii="Times New Roman" w:eastAsia="宋体" w:hAnsi="Times New Roman" w:cs="Times New Roman" w:hint="eastAsia"/>
          <w:sz w:val="24"/>
          <w:szCs w:val="24"/>
        </w:rPr>
        <w:t>报告书</w:t>
      </w:r>
      <w:r w:rsidRPr="002C0D21">
        <w:rPr>
          <w:rFonts w:ascii="Times New Roman" w:eastAsia="宋体" w:hAnsi="Times New Roman" w:cs="Times New Roman"/>
          <w:sz w:val="24"/>
          <w:szCs w:val="24"/>
        </w:rPr>
        <w:t>出具日，大唐</w:t>
      </w:r>
      <w:proofErr w:type="gramStart"/>
      <w:r w:rsidRPr="002C0D21">
        <w:rPr>
          <w:rFonts w:ascii="Times New Roman" w:eastAsia="宋体" w:hAnsi="Times New Roman" w:cs="Times New Roman"/>
          <w:sz w:val="24"/>
          <w:szCs w:val="24"/>
        </w:rPr>
        <w:t>恩智浦已</w:t>
      </w:r>
      <w:proofErr w:type="gramEnd"/>
      <w:r w:rsidRPr="002C0D21">
        <w:rPr>
          <w:rFonts w:ascii="Times New Roman" w:eastAsia="宋体" w:hAnsi="Times New Roman" w:cs="Times New Roman"/>
          <w:sz w:val="24"/>
          <w:szCs w:val="24"/>
        </w:rPr>
        <w:t>收到徐州汽车基金、</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的首次交割金额合计</w:t>
      </w:r>
      <w:r w:rsidRPr="002C0D21">
        <w:rPr>
          <w:rFonts w:ascii="Times New Roman" w:eastAsia="宋体" w:hAnsi="Times New Roman" w:cs="Times New Roman"/>
          <w:sz w:val="24"/>
          <w:szCs w:val="24"/>
        </w:rPr>
        <w:t>1,300</w:t>
      </w:r>
      <w:r w:rsidRPr="002C0D21">
        <w:rPr>
          <w:rFonts w:ascii="Times New Roman" w:eastAsia="宋体" w:hAnsi="Times New Roman" w:cs="Times New Roman"/>
          <w:sz w:val="24"/>
          <w:szCs w:val="24"/>
        </w:rPr>
        <w:t>万美元，其中徐州汽车基金于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29</w:t>
      </w:r>
      <w:r w:rsidRPr="002C0D21">
        <w:rPr>
          <w:rFonts w:ascii="Times New Roman" w:eastAsia="宋体" w:hAnsi="Times New Roman" w:cs="Times New Roman"/>
          <w:sz w:val="24"/>
          <w:szCs w:val="24"/>
        </w:rPr>
        <w:t>日向大唐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缴付增资款共</w:t>
      </w:r>
      <w:r w:rsidRPr="002C0D21">
        <w:rPr>
          <w:rFonts w:ascii="Times New Roman" w:eastAsia="宋体" w:hAnsi="Times New Roman" w:cs="Times New Roman"/>
          <w:sz w:val="24"/>
          <w:szCs w:val="24"/>
        </w:rPr>
        <w:t>4,525.1076</w:t>
      </w:r>
      <w:r w:rsidRPr="002C0D21">
        <w:rPr>
          <w:rFonts w:ascii="Times New Roman" w:eastAsia="宋体" w:hAnsi="Times New Roman" w:cs="Times New Roman"/>
          <w:sz w:val="24"/>
          <w:szCs w:val="24"/>
        </w:rPr>
        <w:t>万元（折算为</w:t>
      </w:r>
      <w:r w:rsidRPr="002C0D21">
        <w:rPr>
          <w:rFonts w:ascii="Times New Roman" w:eastAsia="宋体" w:hAnsi="Times New Roman" w:cs="Times New Roman"/>
          <w:sz w:val="24"/>
          <w:szCs w:val="24"/>
        </w:rPr>
        <w:t>663</w:t>
      </w:r>
      <w:r w:rsidRPr="002C0D21">
        <w:rPr>
          <w:rFonts w:ascii="Times New Roman" w:eastAsia="宋体" w:hAnsi="Times New Roman" w:cs="Times New Roman"/>
          <w:sz w:val="24"/>
          <w:szCs w:val="24"/>
        </w:rPr>
        <w:t>万美元），</w:t>
      </w:r>
      <w:proofErr w:type="gramStart"/>
      <w:r w:rsidRPr="002C0D21">
        <w:rPr>
          <w:rFonts w:ascii="Times New Roman" w:eastAsia="宋体" w:hAnsi="Times New Roman" w:cs="Times New Roman"/>
          <w:sz w:val="24"/>
          <w:szCs w:val="24"/>
        </w:rPr>
        <w:t>恩智浦于</w:t>
      </w:r>
      <w:proofErr w:type="gramEnd"/>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14</w:t>
      </w:r>
      <w:r w:rsidRPr="002C0D21">
        <w:rPr>
          <w:rFonts w:ascii="Times New Roman" w:eastAsia="宋体" w:hAnsi="Times New Roman" w:cs="Times New Roman"/>
          <w:sz w:val="24"/>
          <w:szCs w:val="24"/>
        </w:rPr>
        <w:t>日向大唐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缴付增资款</w:t>
      </w:r>
      <w:r w:rsidRPr="002C0D21">
        <w:rPr>
          <w:rFonts w:ascii="Times New Roman" w:eastAsia="宋体" w:hAnsi="Times New Roman" w:cs="Times New Roman"/>
          <w:sz w:val="24"/>
          <w:szCs w:val="24"/>
        </w:rPr>
        <w:t>637</w:t>
      </w:r>
      <w:r w:rsidRPr="002C0D21">
        <w:rPr>
          <w:rFonts w:ascii="Times New Roman" w:eastAsia="宋体" w:hAnsi="Times New Roman" w:cs="Times New Roman"/>
          <w:sz w:val="24"/>
          <w:szCs w:val="24"/>
        </w:rPr>
        <w:t>万美元。</w:t>
      </w:r>
    </w:p>
    <w:p w14:paraId="0C7FCDDD" w14:textId="77777777"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上市公司与江苏安防、</w:t>
      </w:r>
      <w:proofErr w:type="gramStart"/>
      <w:r w:rsidRPr="002C0D21">
        <w:rPr>
          <w:rFonts w:ascii="Times New Roman" w:eastAsia="宋体" w:hAnsi="Times New Roman" w:cs="Times New Roman"/>
          <w:sz w:val="24"/>
          <w:szCs w:val="24"/>
        </w:rPr>
        <w:t>徐州智安基金</w:t>
      </w:r>
      <w:proofErr w:type="gramEnd"/>
      <w:r w:rsidRPr="002C0D21">
        <w:rPr>
          <w:rFonts w:ascii="Times New Roman" w:eastAsia="宋体" w:hAnsi="Times New Roman" w:cs="Times New Roman"/>
          <w:sz w:val="24"/>
          <w:szCs w:val="24"/>
        </w:rPr>
        <w:t>、德富</w:t>
      </w:r>
      <w:proofErr w:type="gramStart"/>
      <w:r w:rsidRPr="002C0D21">
        <w:rPr>
          <w:rFonts w:ascii="Times New Roman" w:eastAsia="宋体" w:hAnsi="Times New Roman" w:cs="Times New Roman"/>
          <w:sz w:val="24"/>
          <w:szCs w:val="24"/>
        </w:rPr>
        <w:t>勤电子</w:t>
      </w:r>
      <w:proofErr w:type="gramEnd"/>
      <w:r w:rsidRPr="002C0D21">
        <w:rPr>
          <w:rFonts w:ascii="Times New Roman" w:eastAsia="宋体" w:hAnsi="Times New Roman" w:cs="Times New Roman"/>
          <w:sz w:val="24"/>
          <w:szCs w:val="24"/>
        </w:rPr>
        <w:t>科技集团（徐州）有限公司、厦门云攀风能科技有限公司签署的《江苏安防增资协议》已于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21</w:t>
      </w:r>
      <w:r w:rsidRPr="002C0D21">
        <w:rPr>
          <w:rFonts w:ascii="Times New Roman" w:eastAsia="宋体" w:hAnsi="Times New Roman" w:cs="Times New Roman"/>
          <w:sz w:val="24"/>
          <w:szCs w:val="24"/>
        </w:rPr>
        <w:t>日生效，江苏安防于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10</w:t>
      </w:r>
      <w:r w:rsidRPr="002C0D21">
        <w:rPr>
          <w:rFonts w:ascii="Times New Roman" w:eastAsia="宋体" w:hAnsi="Times New Roman" w:cs="Times New Roman"/>
          <w:sz w:val="24"/>
          <w:szCs w:val="24"/>
        </w:rPr>
        <w:t>日收到徐州</w:t>
      </w:r>
      <w:proofErr w:type="gramStart"/>
      <w:r w:rsidRPr="002C0D21">
        <w:rPr>
          <w:rFonts w:ascii="Times New Roman" w:eastAsia="宋体" w:hAnsi="Times New Roman" w:cs="Times New Roman"/>
          <w:sz w:val="24"/>
          <w:szCs w:val="24"/>
        </w:rPr>
        <w:t>智安基金</w:t>
      </w:r>
      <w:proofErr w:type="gramEnd"/>
      <w:r w:rsidRPr="002C0D21">
        <w:rPr>
          <w:rFonts w:ascii="Times New Roman" w:eastAsia="宋体" w:hAnsi="Times New Roman" w:cs="Times New Roman"/>
          <w:sz w:val="24"/>
          <w:szCs w:val="24"/>
        </w:rPr>
        <w:t>的增资款共计</w:t>
      </w:r>
      <w:r w:rsidRPr="002C0D21">
        <w:rPr>
          <w:rFonts w:ascii="Times New Roman" w:eastAsia="宋体" w:hAnsi="Times New Roman" w:cs="Times New Roman"/>
          <w:sz w:val="24"/>
          <w:szCs w:val="24"/>
        </w:rPr>
        <w:t>13,500</w:t>
      </w:r>
      <w:r w:rsidRPr="002C0D21">
        <w:rPr>
          <w:rFonts w:ascii="Times New Roman" w:eastAsia="宋体" w:hAnsi="Times New Roman" w:cs="Times New Roman"/>
          <w:sz w:val="24"/>
          <w:szCs w:val="24"/>
        </w:rPr>
        <w:t>万元人民币，占增资后江苏安防</w:t>
      </w:r>
      <w:r w:rsidRPr="002C0D21">
        <w:rPr>
          <w:rFonts w:ascii="Times New Roman" w:eastAsia="宋体" w:hAnsi="Times New Roman" w:cs="Times New Roman"/>
          <w:sz w:val="24"/>
          <w:szCs w:val="24"/>
        </w:rPr>
        <w:t>24.83%</w:t>
      </w:r>
      <w:r w:rsidRPr="002C0D21">
        <w:rPr>
          <w:rFonts w:ascii="Times New Roman" w:eastAsia="宋体" w:hAnsi="Times New Roman" w:cs="Times New Roman"/>
          <w:sz w:val="24"/>
          <w:szCs w:val="24"/>
        </w:rPr>
        <w:t>股权，本次交易的交易价款已全部支付完成。</w:t>
      </w:r>
    </w:p>
    <w:p w14:paraId="7CA3913A" w14:textId="1E09601E" w:rsidR="00325569" w:rsidRPr="002C0D21" w:rsidRDefault="00325569" w:rsidP="00325569">
      <w:pPr>
        <w:spacing w:beforeLines="50" w:before="156" w:afterLines="50" w:after="156" w:line="360" w:lineRule="auto"/>
        <w:ind w:firstLineChars="200" w:firstLine="480"/>
        <w:rPr>
          <w:rFonts w:ascii="Times New Roman" w:eastAsia="宋体" w:hAnsi="Times New Roman" w:cs="Times New Roman"/>
          <w:sz w:val="24"/>
          <w:szCs w:val="24"/>
          <w:highlight w:val="cyan"/>
        </w:rPr>
      </w:pPr>
      <w:proofErr w:type="gramStart"/>
      <w:r w:rsidRPr="002C0D21">
        <w:rPr>
          <w:rFonts w:ascii="Times New Roman" w:eastAsia="宋体" w:hAnsi="Times New Roman" w:cs="Times New Roman"/>
          <w:sz w:val="24"/>
          <w:szCs w:val="24"/>
        </w:rPr>
        <w:t>联芯科技</w:t>
      </w:r>
      <w:proofErr w:type="gramEnd"/>
      <w:r w:rsidRPr="002C0D21">
        <w:rPr>
          <w:rFonts w:ascii="Times New Roman" w:eastAsia="宋体" w:hAnsi="Times New Roman" w:cs="Times New Roman"/>
          <w:sz w:val="24"/>
          <w:szCs w:val="24"/>
        </w:rPr>
        <w:t>与联合体成员签署的《产权交易合同》已于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21</w:t>
      </w:r>
      <w:r w:rsidRPr="002C0D21">
        <w:rPr>
          <w:rFonts w:ascii="Times New Roman" w:eastAsia="宋体" w:hAnsi="Times New Roman" w:cs="Times New Roman"/>
          <w:sz w:val="24"/>
          <w:szCs w:val="24"/>
        </w:rPr>
        <w:t>日生效，</w:t>
      </w:r>
      <w:proofErr w:type="gramStart"/>
      <w:r w:rsidRPr="002C0D21">
        <w:rPr>
          <w:rFonts w:ascii="Times New Roman" w:eastAsia="宋体" w:hAnsi="Times New Roman" w:cs="Times New Roman"/>
          <w:sz w:val="24"/>
          <w:szCs w:val="24"/>
        </w:rPr>
        <w:t>联芯科技</w:t>
      </w:r>
      <w:proofErr w:type="gramEnd"/>
      <w:r w:rsidRPr="002C0D21">
        <w:rPr>
          <w:rFonts w:ascii="Times New Roman" w:eastAsia="宋体" w:hAnsi="Times New Roman" w:cs="Times New Roman"/>
          <w:sz w:val="24"/>
          <w:szCs w:val="24"/>
        </w:rPr>
        <w:t>于</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w:t>
      </w:r>
      <w:r w:rsidRPr="002C0D21">
        <w:rPr>
          <w:rFonts w:ascii="Times New Roman" w:eastAsia="宋体" w:hAnsi="Times New Roman" w:cs="Times New Roman"/>
          <w:sz w:val="24"/>
          <w:szCs w:val="24"/>
        </w:rPr>
        <w:t>9</w:t>
      </w:r>
      <w:r w:rsidRPr="002C0D21">
        <w:rPr>
          <w:rFonts w:ascii="Times New Roman" w:eastAsia="宋体" w:hAnsi="Times New Roman" w:cs="Times New Roman"/>
          <w:sz w:val="24"/>
          <w:szCs w:val="24"/>
        </w:rPr>
        <w:t>月</w:t>
      </w:r>
      <w:r w:rsidRPr="002C0D21">
        <w:rPr>
          <w:rFonts w:ascii="Times New Roman" w:eastAsia="宋体" w:hAnsi="Times New Roman" w:cs="Times New Roman"/>
          <w:sz w:val="24"/>
          <w:szCs w:val="24"/>
        </w:rPr>
        <w:t>23</w:t>
      </w:r>
      <w:r w:rsidRPr="002C0D21">
        <w:rPr>
          <w:rFonts w:ascii="Times New Roman" w:eastAsia="宋体" w:hAnsi="Times New Roman" w:cs="Times New Roman"/>
          <w:sz w:val="24"/>
          <w:szCs w:val="24"/>
        </w:rPr>
        <w:t>日收到联合体的转让价款</w:t>
      </w:r>
      <w:r w:rsidRPr="002C0D21">
        <w:rPr>
          <w:rFonts w:ascii="Times New Roman" w:eastAsia="宋体" w:hAnsi="Times New Roman" w:cs="Times New Roman"/>
          <w:sz w:val="24"/>
          <w:szCs w:val="24"/>
        </w:rPr>
        <w:t>27,657.222</w:t>
      </w:r>
      <w:r w:rsidRPr="002C0D21">
        <w:rPr>
          <w:rFonts w:ascii="Times New Roman" w:eastAsia="宋体" w:hAnsi="Times New Roman" w:cs="Times New Roman"/>
          <w:sz w:val="24"/>
          <w:szCs w:val="24"/>
        </w:rPr>
        <w:t>万元人民币，本次交易的交易价款已全部支付完成。</w:t>
      </w:r>
    </w:p>
    <w:p w14:paraId="7CCCD5C3" w14:textId="25D4F473" w:rsidR="00325569" w:rsidRPr="007D16DB" w:rsidRDefault="00D352BB" w:rsidP="007D16DB">
      <w:pPr>
        <w:spacing w:beforeLines="50" w:before="156" w:afterLines="50" w:after="156" w:line="360" w:lineRule="auto"/>
        <w:ind w:firstLine="482"/>
        <w:rPr>
          <w:rFonts w:ascii="宋体" w:eastAsia="宋体" w:hAnsi="宋体"/>
          <w:b/>
          <w:bCs/>
          <w:sz w:val="24"/>
          <w:szCs w:val="24"/>
        </w:rPr>
      </w:pPr>
      <w:r>
        <w:rPr>
          <w:rFonts w:ascii="宋体" w:eastAsia="宋体" w:hAnsi="宋体" w:hint="eastAsia"/>
          <w:b/>
          <w:bCs/>
          <w:sz w:val="24"/>
          <w:szCs w:val="24"/>
        </w:rPr>
        <w:t>3、</w:t>
      </w:r>
      <w:r w:rsidR="00325569" w:rsidRPr="007D16DB">
        <w:rPr>
          <w:rFonts w:ascii="宋体" w:eastAsia="宋体" w:hAnsi="宋体" w:hint="eastAsia"/>
          <w:b/>
          <w:bCs/>
          <w:sz w:val="24"/>
          <w:szCs w:val="24"/>
        </w:rPr>
        <w:t>标的资产自评估基准日至交割日期间损益的归属</w:t>
      </w:r>
    </w:p>
    <w:p w14:paraId="38BDA81E" w14:textId="3B79915C" w:rsidR="00325569" w:rsidRPr="007D16DB" w:rsidRDefault="00D352BB" w:rsidP="007D16DB">
      <w:pPr>
        <w:spacing w:beforeLines="50" w:before="156" w:afterLines="50" w:after="156" w:line="360" w:lineRule="auto"/>
        <w:ind w:firstLine="480"/>
        <w:rPr>
          <w:rFonts w:ascii="宋体" w:eastAsia="宋体" w:hAnsi="宋体"/>
          <w:sz w:val="24"/>
          <w:szCs w:val="24"/>
        </w:rPr>
      </w:pPr>
      <w:r>
        <w:rPr>
          <w:rFonts w:ascii="宋体" w:eastAsia="宋体" w:hAnsi="宋体" w:hint="eastAsia"/>
          <w:sz w:val="24"/>
          <w:szCs w:val="24"/>
        </w:rPr>
        <w:t>（1）</w:t>
      </w:r>
      <w:r w:rsidR="00325569" w:rsidRPr="007D16DB">
        <w:rPr>
          <w:rFonts w:ascii="宋体" w:eastAsia="宋体" w:hAnsi="宋体" w:hint="eastAsia"/>
          <w:sz w:val="24"/>
          <w:szCs w:val="24"/>
        </w:rPr>
        <w:t>大唐</w:t>
      </w:r>
      <w:proofErr w:type="gramStart"/>
      <w:r w:rsidR="00325569" w:rsidRPr="007D16DB">
        <w:rPr>
          <w:rFonts w:ascii="宋体" w:eastAsia="宋体" w:hAnsi="宋体" w:hint="eastAsia"/>
          <w:sz w:val="24"/>
          <w:szCs w:val="24"/>
        </w:rPr>
        <w:t>恩智浦</w:t>
      </w:r>
      <w:proofErr w:type="gramEnd"/>
      <w:r w:rsidR="00325569" w:rsidRPr="007D16DB">
        <w:rPr>
          <w:rFonts w:ascii="宋体" w:eastAsia="宋体" w:hAnsi="宋体" w:hint="eastAsia"/>
          <w:sz w:val="24"/>
          <w:szCs w:val="24"/>
        </w:rPr>
        <w:t>增资扩股项目</w:t>
      </w:r>
    </w:p>
    <w:p w14:paraId="6DC92D20" w14:textId="5229ECB2" w:rsidR="00325569" w:rsidRPr="002C0D21" w:rsidRDefault="00325569" w:rsidP="00325569">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t>大唐</w:t>
      </w:r>
      <w:proofErr w:type="gramStart"/>
      <w:r w:rsidRPr="002C0D21">
        <w:rPr>
          <w:rFonts w:ascii="宋体" w:eastAsia="宋体" w:hAnsi="宋体" w:hint="eastAsia"/>
          <w:sz w:val="24"/>
          <w:szCs w:val="24"/>
        </w:rPr>
        <w:t>恩智浦</w:t>
      </w:r>
      <w:proofErr w:type="gramEnd"/>
      <w:r w:rsidRPr="002C0D21">
        <w:rPr>
          <w:rFonts w:ascii="宋体" w:eastAsia="宋体" w:hAnsi="宋体" w:hint="eastAsia"/>
          <w:sz w:val="24"/>
          <w:szCs w:val="24"/>
        </w:rPr>
        <w:t>增资扩股项目过渡期损益归属安排为自评估基准日（不含）至增资完成交割日，大唐</w:t>
      </w:r>
      <w:proofErr w:type="gramStart"/>
      <w:r w:rsidRPr="002C0D21">
        <w:rPr>
          <w:rFonts w:ascii="宋体" w:eastAsia="宋体" w:hAnsi="宋体" w:hint="eastAsia"/>
          <w:sz w:val="24"/>
          <w:szCs w:val="24"/>
        </w:rPr>
        <w:t>恩智浦在此</w:t>
      </w:r>
      <w:proofErr w:type="gramEnd"/>
      <w:r w:rsidRPr="002C0D21">
        <w:rPr>
          <w:rFonts w:ascii="宋体" w:eastAsia="宋体" w:hAnsi="宋体" w:hint="eastAsia"/>
          <w:sz w:val="24"/>
          <w:szCs w:val="24"/>
        </w:rPr>
        <w:t>期间产生的收益</w:t>
      </w:r>
      <w:r w:rsidRPr="002C0D21">
        <w:rPr>
          <w:rFonts w:ascii="宋体" w:eastAsia="宋体" w:hAnsi="宋体"/>
          <w:sz w:val="24"/>
          <w:szCs w:val="24"/>
        </w:rPr>
        <w:t>/亏损或因其他原因而增加/减少的净资产部分由大唐</w:t>
      </w:r>
      <w:proofErr w:type="gramStart"/>
      <w:r w:rsidRPr="002C0D21">
        <w:rPr>
          <w:rFonts w:ascii="宋体" w:eastAsia="宋体" w:hAnsi="宋体"/>
          <w:sz w:val="24"/>
          <w:szCs w:val="24"/>
        </w:rPr>
        <w:t>恩智浦</w:t>
      </w:r>
      <w:proofErr w:type="gramEnd"/>
      <w:r w:rsidRPr="002C0D21">
        <w:rPr>
          <w:rFonts w:ascii="宋体" w:eastAsia="宋体" w:hAnsi="宋体"/>
          <w:sz w:val="24"/>
          <w:szCs w:val="24"/>
        </w:rPr>
        <w:t>的原股东享有/承担。</w:t>
      </w:r>
    </w:p>
    <w:p w14:paraId="2D6A3F5C" w14:textId="37D493FB" w:rsidR="00667C64" w:rsidRPr="007D16DB" w:rsidRDefault="00D352BB" w:rsidP="007D16DB">
      <w:pPr>
        <w:spacing w:beforeLines="50" w:before="156" w:afterLines="50" w:after="156" w:line="360" w:lineRule="auto"/>
        <w:ind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sidR="00667C64" w:rsidRPr="007D16DB">
        <w:rPr>
          <w:rFonts w:ascii="宋体" w:eastAsia="宋体" w:hAnsi="宋体" w:hint="eastAsia"/>
          <w:sz w:val="24"/>
          <w:szCs w:val="24"/>
        </w:rPr>
        <w:t>江苏安防增资扩股项目</w:t>
      </w:r>
    </w:p>
    <w:p w14:paraId="6BC2BC2B" w14:textId="37840D33" w:rsidR="00667C64" w:rsidRPr="002C0D21" w:rsidRDefault="00667C64" w:rsidP="00667C64">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t>本次江苏安防增资扩股项目过渡期损益归属安排为自评估基准日（不含）至江苏安</w:t>
      </w:r>
      <w:proofErr w:type="gramStart"/>
      <w:r w:rsidRPr="002C0D21">
        <w:rPr>
          <w:rFonts w:ascii="宋体" w:eastAsia="宋体" w:hAnsi="宋体" w:hint="eastAsia"/>
          <w:sz w:val="24"/>
          <w:szCs w:val="24"/>
        </w:rPr>
        <w:t>防完成</w:t>
      </w:r>
      <w:proofErr w:type="gramEnd"/>
      <w:r w:rsidRPr="002C0D21">
        <w:rPr>
          <w:rFonts w:ascii="宋体" w:eastAsia="宋体" w:hAnsi="宋体" w:hint="eastAsia"/>
          <w:sz w:val="24"/>
          <w:szCs w:val="24"/>
        </w:rPr>
        <w:t>工商变更登记手续之日（含），江苏安</w:t>
      </w:r>
      <w:proofErr w:type="gramStart"/>
      <w:r w:rsidRPr="002C0D21">
        <w:rPr>
          <w:rFonts w:ascii="宋体" w:eastAsia="宋体" w:hAnsi="宋体" w:hint="eastAsia"/>
          <w:sz w:val="24"/>
          <w:szCs w:val="24"/>
        </w:rPr>
        <w:t>防在此</w:t>
      </w:r>
      <w:proofErr w:type="gramEnd"/>
      <w:r w:rsidRPr="002C0D21">
        <w:rPr>
          <w:rFonts w:ascii="宋体" w:eastAsia="宋体" w:hAnsi="宋体" w:hint="eastAsia"/>
          <w:sz w:val="24"/>
          <w:szCs w:val="24"/>
        </w:rPr>
        <w:t>期间产生的收益</w:t>
      </w:r>
      <w:r w:rsidRPr="002C0D21">
        <w:rPr>
          <w:rFonts w:ascii="宋体" w:eastAsia="宋体" w:hAnsi="宋体"/>
          <w:sz w:val="24"/>
          <w:szCs w:val="24"/>
        </w:rPr>
        <w:t>/亏损或因其他原因而增加/减少的净资产部分由新老股东共同享有/承担。</w:t>
      </w:r>
    </w:p>
    <w:p w14:paraId="5FFB3B43" w14:textId="3A6789FE" w:rsidR="00667C64" w:rsidRPr="007D16DB" w:rsidRDefault="00D352BB" w:rsidP="007D16DB">
      <w:pPr>
        <w:spacing w:beforeLines="50" w:before="156" w:afterLines="50" w:after="156" w:line="360" w:lineRule="auto"/>
        <w:ind w:firstLine="480"/>
        <w:rPr>
          <w:rFonts w:ascii="宋体" w:eastAsia="宋体" w:hAnsi="宋体"/>
          <w:sz w:val="24"/>
          <w:szCs w:val="24"/>
        </w:rPr>
      </w:pPr>
      <w:r>
        <w:rPr>
          <w:rFonts w:ascii="宋体" w:eastAsia="宋体" w:hAnsi="宋体" w:hint="eastAsia"/>
          <w:sz w:val="24"/>
          <w:szCs w:val="24"/>
        </w:rPr>
        <w:t>（3）</w:t>
      </w:r>
      <w:proofErr w:type="gramStart"/>
      <w:r w:rsidR="00667C64" w:rsidRPr="007D16DB">
        <w:rPr>
          <w:rFonts w:ascii="宋体" w:eastAsia="宋体" w:hAnsi="宋体" w:hint="eastAsia"/>
          <w:sz w:val="24"/>
          <w:szCs w:val="24"/>
        </w:rPr>
        <w:t>宸芯科技</w:t>
      </w:r>
      <w:proofErr w:type="gramEnd"/>
      <w:r w:rsidR="00667C64" w:rsidRPr="007D16DB">
        <w:rPr>
          <w:rFonts w:ascii="宋体" w:eastAsia="宋体" w:hAnsi="宋体" w:hint="eastAsia"/>
          <w:sz w:val="24"/>
          <w:szCs w:val="24"/>
        </w:rPr>
        <w:t>股权转让方案</w:t>
      </w:r>
    </w:p>
    <w:p w14:paraId="6795A723" w14:textId="77777777" w:rsidR="00667C64" w:rsidRPr="002C0D21" w:rsidRDefault="00667C64" w:rsidP="00667C64">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lastRenderedPageBreak/>
        <w:t>本次</w:t>
      </w:r>
      <w:proofErr w:type="gramStart"/>
      <w:r w:rsidRPr="002C0D21">
        <w:rPr>
          <w:rFonts w:ascii="宋体" w:eastAsia="宋体" w:hAnsi="宋体" w:hint="eastAsia"/>
          <w:sz w:val="24"/>
          <w:szCs w:val="24"/>
        </w:rPr>
        <w:t>宸芯科技</w:t>
      </w:r>
      <w:proofErr w:type="gramEnd"/>
      <w:r w:rsidRPr="002C0D21">
        <w:rPr>
          <w:rFonts w:ascii="宋体" w:eastAsia="宋体" w:hAnsi="宋体" w:hint="eastAsia"/>
          <w:sz w:val="24"/>
          <w:szCs w:val="24"/>
        </w:rPr>
        <w:t>股权转让项目过渡期损益归属安排为自评估基准日至</w:t>
      </w:r>
      <w:proofErr w:type="gramStart"/>
      <w:r w:rsidRPr="002C0D21">
        <w:rPr>
          <w:rFonts w:ascii="宋体" w:eastAsia="宋体" w:hAnsi="宋体" w:hint="eastAsia"/>
          <w:sz w:val="24"/>
          <w:szCs w:val="24"/>
        </w:rPr>
        <w:t>宸芯科技</w:t>
      </w:r>
      <w:proofErr w:type="gramEnd"/>
      <w:r w:rsidRPr="002C0D21">
        <w:rPr>
          <w:rFonts w:ascii="宋体" w:eastAsia="宋体" w:hAnsi="宋体" w:hint="eastAsia"/>
          <w:sz w:val="24"/>
          <w:szCs w:val="24"/>
        </w:rPr>
        <w:t>工商变更登记手续完成前的期间，除非</w:t>
      </w:r>
      <w:proofErr w:type="gramStart"/>
      <w:r w:rsidRPr="002C0D21">
        <w:rPr>
          <w:rFonts w:ascii="宋体" w:eastAsia="宋体" w:hAnsi="宋体" w:hint="eastAsia"/>
          <w:sz w:val="24"/>
          <w:szCs w:val="24"/>
        </w:rPr>
        <w:t>联芯科技</w:t>
      </w:r>
      <w:proofErr w:type="gramEnd"/>
      <w:r w:rsidRPr="002C0D21">
        <w:rPr>
          <w:rFonts w:ascii="宋体" w:eastAsia="宋体" w:hAnsi="宋体" w:hint="eastAsia"/>
          <w:sz w:val="24"/>
          <w:szCs w:val="24"/>
        </w:rPr>
        <w:t>未尽足够的善良管理义务，</w:t>
      </w:r>
      <w:proofErr w:type="gramStart"/>
      <w:r w:rsidRPr="002C0D21">
        <w:rPr>
          <w:rFonts w:ascii="宋体" w:eastAsia="宋体" w:hAnsi="宋体" w:hint="eastAsia"/>
          <w:sz w:val="24"/>
          <w:szCs w:val="24"/>
        </w:rPr>
        <w:t>宸芯科技</w:t>
      </w:r>
      <w:proofErr w:type="gramEnd"/>
      <w:r w:rsidRPr="002C0D21">
        <w:rPr>
          <w:rFonts w:ascii="宋体" w:eastAsia="宋体" w:hAnsi="宋体" w:hint="eastAsia"/>
          <w:sz w:val="24"/>
          <w:szCs w:val="24"/>
        </w:rPr>
        <w:t>在此期间产生的有关资产的</w:t>
      </w:r>
      <w:proofErr w:type="gramStart"/>
      <w:r w:rsidRPr="002C0D21">
        <w:rPr>
          <w:rFonts w:ascii="宋体" w:eastAsia="宋体" w:hAnsi="宋体" w:hint="eastAsia"/>
          <w:sz w:val="24"/>
          <w:szCs w:val="24"/>
        </w:rPr>
        <w:t>损益均</w:t>
      </w:r>
      <w:proofErr w:type="gramEnd"/>
      <w:r w:rsidRPr="002C0D21">
        <w:rPr>
          <w:rFonts w:ascii="宋体" w:eastAsia="宋体" w:hAnsi="宋体" w:hint="eastAsia"/>
          <w:sz w:val="24"/>
          <w:szCs w:val="24"/>
        </w:rPr>
        <w:t>由联合体承担。</w:t>
      </w:r>
    </w:p>
    <w:p w14:paraId="08404B80" w14:textId="381C11DE" w:rsidR="00325569" w:rsidRPr="002C0D21" w:rsidRDefault="00667C64" w:rsidP="00667C64">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t>为避免疑义，</w:t>
      </w:r>
      <w:proofErr w:type="gramStart"/>
      <w:r w:rsidRPr="002C0D21">
        <w:rPr>
          <w:rFonts w:ascii="宋体" w:eastAsia="宋体" w:hAnsi="宋体" w:hint="eastAsia"/>
          <w:sz w:val="24"/>
          <w:szCs w:val="24"/>
        </w:rPr>
        <w:t>宸芯科技</w:t>
      </w:r>
      <w:proofErr w:type="gramEnd"/>
      <w:r w:rsidRPr="002C0D21">
        <w:rPr>
          <w:rFonts w:ascii="宋体" w:eastAsia="宋体" w:hAnsi="宋体" w:hint="eastAsia"/>
          <w:sz w:val="24"/>
          <w:szCs w:val="24"/>
        </w:rPr>
        <w:t>股权转让项目过渡期损益安排针对的“有关资产”即转让标的，为</w:t>
      </w:r>
      <w:proofErr w:type="gramStart"/>
      <w:r w:rsidRPr="002C0D21">
        <w:rPr>
          <w:rFonts w:ascii="宋体" w:eastAsia="宋体" w:hAnsi="宋体" w:hint="eastAsia"/>
          <w:sz w:val="24"/>
          <w:szCs w:val="24"/>
        </w:rPr>
        <w:t>宸芯科技</w:t>
      </w:r>
      <w:proofErr w:type="gramEnd"/>
      <w:r w:rsidRPr="002C0D21">
        <w:rPr>
          <w:rFonts w:ascii="宋体" w:eastAsia="宋体" w:hAnsi="宋体"/>
          <w:sz w:val="24"/>
          <w:szCs w:val="24"/>
        </w:rPr>
        <w:t>15%的股权。</w:t>
      </w:r>
      <w:proofErr w:type="gramStart"/>
      <w:r w:rsidRPr="002C0D21">
        <w:rPr>
          <w:rFonts w:ascii="宋体" w:eastAsia="宋体" w:hAnsi="宋体"/>
          <w:sz w:val="24"/>
          <w:szCs w:val="24"/>
        </w:rPr>
        <w:t>宸芯科技</w:t>
      </w:r>
      <w:proofErr w:type="gramEnd"/>
      <w:r w:rsidRPr="002C0D21">
        <w:rPr>
          <w:rFonts w:ascii="宋体" w:eastAsia="宋体" w:hAnsi="宋体"/>
          <w:sz w:val="24"/>
          <w:szCs w:val="24"/>
        </w:rPr>
        <w:t>作为标的公司的其余资产在过渡期间产生的损益由原股东按其持股比例享有/承担。本次重大资产重组的三个标的公司过渡期损益归属安排的约定，是经过与交易对方商谈后最终达成的，也是符合相关商业惯例的。</w:t>
      </w:r>
    </w:p>
    <w:p w14:paraId="0A469D1C" w14:textId="34DBE2E9" w:rsidR="00A00E78" w:rsidRPr="007D16DB" w:rsidRDefault="007D16DB" w:rsidP="007D16DB">
      <w:pPr>
        <w:spacing w:beforeLines="50" w:before="156" w:afterLines="50" w:after="156" w:line="360" w:lineRule="auto"/>
        <w:ind w:left="1179" w:hanging="720"/>
        <w:outlineLvl w:val="1"/>
        <w:rPr>
          <w:rFonts w:ascii="宋体" w:eastAsia="宋体" w:hAnsi="宋体"/>
          <w:b/>
          <w:bCs/>
          <w:sz w:val="24"/>
          <w:szCs w:val="24"/>
        </w:rPr>
      </w:pPr>
      <w:r w:rsidRPr="002C0D21">
        <w:rPr>
          <w:rFonts w:ascii="宋体" w:eastAsia="宋体" w:hAnsi="宋体"/>
          <w:b/>
          <w:bCs/>
          <w:sz w:val="24"/>
          <w:szCs w:val="24"/>
        </w:rPr>
        <w:t>（</w:t>
      </w:r>
      <w:r w:rsidR="009C2B39">
        <w:rPr>
          <w:rFonts w:ascii="宋体" w:eastAsia="宋体" w:hAnsi="宋体" w:hint="eastAsia"/>
          <w:b/>
          <w:bCs/>
          <w:sz w:val="24"/>
          <w:szCs w:val="24"/>
        </w:rPr>
        <w:t>七</w:t>
      </w:r>
      <w:r w:rsidRPr="002C0D21">
        <w:rPr>
          <w:rFonts w:ascii="宋体" w:eastAsia="宋体" w:hAnsi="宋体"/>
          <w:b/>
          <w:bCs/>
          <w:sz w:val="24"/>
          <w:szCs w:val="24"/>
        </w:rPr>
        <w:t>）</w:t>
      </w:r>
      <w:r w:rsidRPr="002C0D21">
        <w:rPr>
          <w:rFonts w:ascii="宋体" w:eastAsia="宋体" w:hAnsi="宋体"/>
          <w:b/>
          <w:bCs/>
          <w:sz w:val="24"/>
          <w:szCs w:val="24"/>
        </w:rPr>
        <w:tab/>
      </w:r>
      <w:r w:rsidR="00A00E78" w:rsidRPr="007D16DB">
        <w:rPr>
          <w:rFonts w:ascii="宋体" w:eastAsia="宋体" w:hAnsi="宋体" w:hint="eastAsia"/>
          <w:b/>
          <w:bCs/>
          <w:sz w:val="24"/>
          <w:szCs w:val="24"/>
        </w:rPr>
        <w:t>独立财务顾问核查意见</w:t>
      </w:r>
    </w:p>
    <w:p w14:paraId="0295C0E3" w14:textId="77777777" w:rsidR="00667C64" w:rsidRPr="002C0D21" w:rsidRDefault="00667C64" w:rsidP="00667C64">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经核查，独立财务顾问认为：</w:t>
      </w:r>
    </w:p>
    <w:p w14:paraId="4615868D" w14:textId="77777777" w:rsidR="00667C64" w:rsidRPr="002C0D21" w:rsidRDefault="00667C64" w:rsidP="00667C64">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1</w:t>
      </w:r>
      <w:r w:rsidRPr="002C0D21">
        <w:rPr>
          <w:rFonts w:ascii="Times New Roman" w:eastAsia="宋体" w:hAnsi="Times New Roman" w:cs="Times New Roman"/>
          <w:sz w:val="24"/>
          <w:szCs w:val="24"/>
        </w:rPr>
        <w:t>、本次交易的实施符合《公司法》、《证券法》和《重组管理办法》等相关法律法规及规范性文件的规定；</w:t>
      </w:r>
    </w:p>
    <w:p w14:paraId="42D7B102" w14:textId="77777777" w:rsidR="00667C64" w:rsidRPr="002C0D21" w:rsidRDefault="00667C64" w:rsidP="00667C64">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w:t>
      </w:r>
      <w:r w:rsidRPr="002C0D21">
        <w:rPr>
          <w:rFonts w:ascii="Times New Roman" w:eastAsia="宋体" w:hAnsi="Times New Roman" w:cs="Times New Roman"/>
          <w:sz w:val="24"/>
          <w:szCs w:val="24"/>
        </w:rPr>
        <w:t>、本次交易已经取得必要的批准和授权，并履行了挂牌程序，交易各方可依法实施本次重大资产重组；</w:t>
      </w:r>
    </w:p>
    <w:p w14:paraId="67AE65C7" w14:textId="77777777" w:rsidR="00667C64" w:rsidRPr="002C0D21" w:rsidRDefault="00667C64" w:rsidP="00667C64">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3</w:t>
      </w:r>
      <w:r w:rsidRPr="002C0D21">
        <w:rPr>
          <w:rFonts w:ascii="Times New Roman" w:eastAsia="宋体" w:hAnsi="Times New Roman" w:cs="Times New Roman"/>
          <w:sz w:val="24"/>
          <w:szCs w:val="24"/>
        </w:rPr>
        <w:t>、本次重大资产重组涉及的标的资产已按照《大唐恩智浦增资协议》、《江苏安防增资协议》、《产权交易合同》的约定实施交割，大唐</w:t>
      </w:r>
      <w:proofErr w:type="gramStart"/>
      <w:r w:rsidRPr="002C0D21">
        <w:rPr>
          <w:rFonts w:ascii="Times New Roman" w:eastAsia="宋体" w:hAnsi="Times New Roman" w:cs="Times New Roman"/>
          <w:sz w:val="24"/>
          <w:szCs w:val="24"/>
        </w:rPr>
        <w:t>恩智浦</w:t>
      </w:r>
      <w:proofErr w:type="gramEnd"/>
      <w:r w:rsidRPr="002C0D21">
        <w:rPr>
          <w:rFonts w:ascii="Times New Roman" w:eastAsia="宋体" w:hAnsi="Times New Roman" w:cs="Times New Roman"/>
          <w:sz w:val="24"/>
          <w:szCs w:val="24"/>
        </w:rPr>
        <w:t>、江苏安防及</w:t>
      </w:r>
      <w:proofErr w:type="gramStart"/>
      <w:r w:rsidRPr="002C0D21">
        <w:rPr>
          <w:rFonts w:ascii="Times New Roman" w:eastAsia="宋体" w:hAnsi="Times New Roman" w:cs="Times New Roman"/>
          <w:sz w:val="24"/>
          <w:szCs w:val="24"/>
        </w:rPr>
        <w:t>宸芯科技</w:t>
      </w:r>
      <w:proofErr w:type="gramEnd"/>
      <w:r w:rsidRPr="002C0D21">
        <w:rPr>
          <w:rFonts w:ascii="Times New Roman" w:eastAsia="宋体" w:hAnsi="Times New Roman" w:cs="Times New Roman"/>
          <w:sz w:val="24"/>
          <w:szCs w:val="24"/>
        </w:rPr>
        <w:t>已办理完毕相应工商变更登记手续；</w:t>
      </w:r>
    </w:p>
    <w:p w14:paraId="28836B25" w14:textId="77777777" w:rsidR="00667C64" w:rsidRPr="002C0D21" w:rsidRDefault="00667C64" w:rsidP="00667C64">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4</w:t>
      </w:r>
      <w:r w:rsidRPr="002C0D21">
        <w:rPr>
          <w:rFonts w:ascii="Times New Roman" w:eastAsia="宋体" w:hAnsi="Times New Roman" w:cs="Times New Roman"/>
          <w:sz w:val="24"/>
          <w:szCs w:val="24"/>
        </w:rPr>
        <w:t>、本次重大资产重组过程中，大唐电信的董事、监事、高级管理人员未因本次重大资产重组发生变更；</w:t>
      </w:r>
    </w:p>
    <w:p w14:paraId="12A514C2" w14:textId="77777777" w:rsidR="00D22EFC" w:rsidRDefault="00667C64" w:rsidP="00D22EFC">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5</w:t>
      </w:r>
      <w:r w:rsidRPr="002C0D21">
        <w:rPr>
          <w:rFonts w:ascii="Times New Roman" w:eastAsia="宋体" w:hAnsi="Times New Roman" w:cs="Times New Roman"/>
          <w:sz w:val="24"/>
          <w:szCs w:val="24"/>
        </w:rPr>
        <w:t>、上市公司已就本次交易履行了相关信息披露义务，符合相关法律、法规和《上市规则》的要求，本次交易实施过程中，不存在与已披露信息存在重大差异的情形；</w:t>
      </w:r>
    </w:p>
    <w:p w14:paraId="3CCBB5D0" w14:textId="77777777" w:rsidR="00D22EFC" w:rsidRDefault="00667C64" w:rsidP="00D22EFC">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6</w:t>
      </w:r>
      <w:r w:rsidRPr="002C0D21">
        <w:rPr>
          <w:rFonts w:ascii="Times New Roman" w:eastAsia="宋体" w:hAnsi="Times New Roman" w:cs="Times New Roman"/>
          <w:sz w:val="24"/>
          <w:szCs w:val="24"/>
        </w:rPr>
        <w:t>、本次重大资产重组实施过程中，除正常性经营往来以外，未发生大唐电信资金、资产被实际控制人或其他关联人占用的情形，或大唐电信为实际控制人及其关联人提供担保的情形；</w:t>
      </w:r>
    </w:p>
    <w:p w14:paraId="449C47A4" w14:textId="77777777" w:rsidR="00D22EFC" w:rsidRDefault="00667C64" w:rsidP="00D22EFC">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7</w:t>
      </w:r>
      <w:r w:rsidRPr="002C0D21">
        <w:rPr>
          <w:rFonts w:ascii="Times New Roman" w:eastAsia="宋体" w:hAnsi="Times New Roman" w:cs="Times New Roman"/>
          <w:sz w:val="24"/>
          <w:szCs w:val="24"/>
        </w:rPr>
        <w:t>、本次重大资产重组过程中涉及的相关协议及承诺已切实履行或正在履行</w:t>
      </w:r>
      <w:r w:rsidRPr="002C0D21">
        <w:rPr>
          <w:rFonts w:ascii="Times New Roman" w:eastAsia="宋体" w:hAnsi="Times New Roman" w:cs="Times New Roman"/>
          <w:sz w:val="24"/>
          <w:szCs w:val="24"/>
        </w:rPr>
        <w:lastRenderedPageBreak/>
        <w:t>中，未出现违反协议或承诺的情形；</w:t>
      </w:r>
    </w:p>
    <w:p w14:paraId="79028E2A" w14:textId="2D843970" w:rsidR="00667C64" w:rsidRPr="00D22EFC" w:rsidRDefault="00667C64" w:rsidP="00D22EFC">
      <w:pPr>
        <w:pStyle w:val="ac"/>
        <w:spacing w:beforeLines="50" w:before="156" w:afterLines="50" w:after="156" w:line="360" w:lineRule="auto"/>
        <w:ind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8</w:t>
      </w:r>
      <w:r w:rsidRPr="002C0D21">
        <w:rPr>
          <w:rFonts w:ascii="Times New Roman" w:eastAsia="宋体" w:hAnsi="Times New Roman" w:cs="Times New Roman"/>
          <w:sz w:val="24"/>
          <w:szCs w:val="24"/>
        </w:rPr>
        <w:t>、大唐电信本次重大资产重组的相关后续事项在合</w:t>
      </w:r>
      <w:proofErr w:type="gramStart"/>
      <w:r w:rsidRPr="002C0D21">
        <w:rPr>
          <w:rFonts w:ascii="Times New Roman" w:eastAsia="宋体" w:hAnsi="Times New Roman" w:cs="Times New Roman"/>
          <w:sz w:val="24"/>
          <w:szCs w:val="24"/>
        </w:rPr>
        <w:t>规</w:t>
      </w:r>
      <w:proofErr w:type="gramEnd"/>
      <w:r w:rsidRPr="002C0D21">
        <w:rPr>
          <w:rFonts w:ascii="Times New Roman" w:eastAsia="宋体" w:hAnsi="Times New Roman" w:cs="Times New Roman"/>
          <w:sz w:val="24"/>
          <w:szCs w:val="24"/>
        </w:rPr>
        <w:t>性方面不存在重大障碍；在各方切实履行协议约定和承诺的基础上，本次重大资产重组的相关后续事项不存在重大法律风险。</w:t>
      </w:r>
    </w:p>
    <w:p w14:paraId="6B4B8A28" w14:textId="5121BE22" w:rsidR="00A00E78" w:rsidRPr="007D16DB" w:rsidRDefault="007D16DB" w:rsidP="007D16DB">
      <w:pPr>
        <w:spacing w:beforeLines="50" w:before="156" w:afterLines="50" w:after="156" w:line="360" w:lineRule="auto"/>
        <w:ind w:left="709" w:hanging="482"/>
        <w:outlineLvl w:val="0"/>
        <w:rPr>
          <w:rFonts w:ascii="宋体" w:eastAsia="宋体" w:hAnsi="宋体"/>
          <w:b/>
          <w:bCs/>
          <w:sz w:val="28"/>
          <w:szCs w:val="28"/>
        </w:rPr>
      </w:pPr>
      <w:r w:rsidRPr="002C0D21">
        <w:rPr>
          <w:rFonts w:ascii="宋体" w:eastAsia="宋体" w:hAnsi="宋体"/>
          <w:b/>
          <w:bCs/>
          <w:sz w:val="28"/>
          <w:szCs w:val="28"/>
        </w:rPr>
        <w:t>二、</w:t>
      </w:r>
      <w:r w:rsidRPr="002C0D21">
        <w:rPr>
          <w:rFonts w:ascii="宋体" w:eastAsia="宋体" w:hAnsi="宋体"/>
          <w:b/>
          <w:bCs/>
          <w:sz w:val="28"/>
          <w:szCs w:val="28"/>
        </w:rPr>
        <w:tab/>
      </w:r>
      <w:r w:rsidR="0003773A" w:rsidRPr="007D16DB">
        <w:rPr>
          <w:rFonts w:ascii="宋体" w:eastAsia="宋体" w:hAnsi="宋体" w:hint="eastAsia"/>
          <w:b/>
          <w:bCs/>
          <w:sz w:val="28"/>
          <w:szCs w:val="28"/>
        </w:rPr>
        <w:t>交易各方当事人</w:t>
      </w:r>
      <w:r w:rsidR="00667C64" w:rsidRPr="007D16DB">
        <w:rPr>
          <w:rFonts w:ascii="宋体" w:eastAsia="宋体" w:hAnsi="宋体" w:hint="eastAsia"/>
          <w:b/>
          <w:bCs/>
          <w:sz w:val="28"/>
          <w:szCs w:val="28"/>
        </w:rPr>
        <w:t>协议及</w:t>
      </w:r>
      <w:r w:rsidR="0003773A" w:rsidRPr="007D16DB">
        <w:rPr>
          <w:rFonts w:ascii="宋体" w:eastAsia="宋体" w:hAnsi="宋体" w:hint="eastAsia"/>
          <w:b/>
          <w:bCs/>
          <w:sz w:val="28"/>
          <w:szCs w:val="28"/>
        </w:rPr>
        <w:t>承诺的履行情况</w:t>
      </w:r>
    </w:p>
    <w:p w14:paraId="488ED038" w14:textId="347CA2FD" w:rsidR="00667C64" w:rsidRPr="007D16DB" w:rsidRDefault="007D16DB" w:rsidP="007D16DB">
      <w:pPr>
        <w:spacing w:beforeLines="50" w:before="156" w:afterLines="50" w:after="156" w:line="360" w:lineRule="auto"/>
        <w:ind w:firstLine="482"/>
        <w:rPr>
          <w:rFonts w:ascii="宋体" w:eastAsia="宋体" w:hAnsi="宋体"/>
          <w:b/>
          <w:bCs/>
          <w:sz w:val="24"/>
          <w:szCs w:val="24"/>
        </w:rPr>
      </w:pPr>
      <w:r w:rsidRPr="002C0D21">
        <w:rPr>
          <w:rFonts w:ascii="宋体" w:eastAsia="宋体" w:hAnsi="宋体"/>
          <w:b/>
          <w:bCs/>
          <w:sz w:val="24"/>
          <w:szCs w:val="24"/>
        </w:rPr>
        <w:t>（1）</w:t>
      </w:r>
      <w:r w:rsidR="00667C64" w:rsidRPr="007D16DB">
        <w:rPr>
          <w:rFonts w:ascii="宋体" w:eastAsia="宋体" w:hAnsi="宋体" w:hint="eastAsia"/>
          <w:b/>
          <w:bCs/>
          <w:sz w:val="24"/>
          <w:szCs w:val="24"/>
        </w:rPr>
        <w:t>相关协议的履行情况</w:t>
      </w:r>
    </w:p>
    <w:p w14:paraId="51764709" w14:textId="3E7195DA" w:rsidR="00667C64" w:rsidRPr="002C0D21" w:rsidRDefault="00667C64" w:rsidP="00667C64">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t>截至本</w:t>
      </w:r>
      <w:r w:rsidR="00D22EFC">
        <w:rPr>
          <w:rFonts w:ascii="宋体" w:eastAsia="宋体" w:hAnsi="宋体" w:hint="eastAsia"/>
          <w:sz w:val="24"/>
          <w:szCs w:val="24"/>
        </w:rPr>
        <w:t>报告书</w:t>
      </w:r>
      <w:r w:rsidRPr="002C0D21">
        <w:rPr>
          <w:rFonts w:ascii="宋体" w:eastAsia="宋体" w:hAnsi="宋体" w:hint="eastAsia"/>
          <w:sz w:val="24"/>
          <w:szCs w:val="24"/>
        </w:rPr>
        <w:t>出具日，大唐</w:t>
      </w:r>
      <w:proofErr w:type="gramStart"/>
      <w:r w:rsidRPr="002C0D21">
        <w:rPr>
          <w:rFonts w:ascii="宋体" w:eastAsia="宋体" w:hAnsi="宋体" w:hint="eastAsia"/>
          <w:sz w:val="24"/>
          <w:szCs w:val="24"/>
        </w:rPr>
        <w:t>恩智浦与恩智浦</w:t>
      </w:r>
      <w:proofErr w:type="gramEnd"/>
      <w:r w:rsidRPr="002C0D21">
        <w:rPr>
          <w:rFonts w:ascii="宋体" w:eastAsia="宋体" w:hAnsi="宋体" w:hint="eastAsia"/>
          <w:sz w:val="24"/>
          <w:szCs w:val="24"/>
        </w:rPr>
        <w:t>、大唐半导体、徐州汽车基金签署的《大唐恩智浦增资协议》已生效，协议各方均依照《大唐恩智浦增资协议》的相关约定进行资产交割，相关方未出现违反协议约定的情形。</w:t>
      </w:r>
    </w:p>
    <w:p w14:paraId="419008D3" w14:textId="260DCC65" w:rsidR="00667C64" w:rsidRPr="002C0D21" w:rsidRDefault="00667C64" w:rsidP="00667C64">
      <w:pPr>
        <w:spacing w:beforeLines="50" w:before="156" w:afterLines="50" w:after="156" w:line="360" w:lineRule="auto"/>
        <w:ind w:firstLineChars="200" w:firstLine="480"/>
        <w:rPr>
          <w:rFonts w:ascii="宋体" w:eastAsia="宋体" w:hAnsi="宋体"/>
          <w:sz w:val="24"/>
          <w:szCs w:val="24"/>
        </w:rPr>
      </w:pPr>
      <w:r w:rsidRPr="002C0D21">
        <w:rPr>
          <w:rFonts w:ascii="宋体" w:eastAsia="宋体" w:hAnsi="宋体" w:hint="eastAsia"/>
          <w:sz w:val="24"/>
          <w:szCs w:val="24"/>
        </w:rPr>
        <w:t>截至本</w:t>
      </w:r>
      <w:r w:rsidR="00D22EFC">
        <w:rPr>
          <w:rFonts w:ascii="宋体" w:eastAsia="宋体" w:hAnsi="宋体" w:hint="eastAsia"/>
          <w:sz w:val="24"/>
          <w:szCs w:val="24"/>
        </w:rPr>
        <w:t>报告书</w:t>
      </w:r>
      <w:r w:rsidRPr="002C0D21">
        <w:rPr>
          <w:rFonts w:ascii="宋体" w:eastAsia="宋体" w:hAnsi="宋体" w:hint="eastAsia"/>
          <w:sz w:val="24"/>
          <w:szCs w:val="24"/>
        </w:rPr>
        <w:t>出具日，上市公司与江苏安防、</w:t>
      </w:r>
      <w:proofErr w:type="gramStart"/>
      <w:r w:rsidRPr="002C0D21">
        <w:rPr>
          <w:rFonts w:ascii="宋体" w:eastAsia="宋体" w:hAnsi="宋体" w:hint="eastAsia"/>
          <w:sz w:val="24"/>
          <w:szCs w:val="24"/>
        </w:rPr>
        <w:t>徐州智安基金</w:t>
      </w:r>
      <w:proofErr w:type="gramEnd"/>
      <w:r w:rsidRPr="002C0D21">
        <w:rPr>
          <w:rFonts w:ascii="宋体" w:eastAsia="宋体" w:hAnsi="宋体" w:hint="eastAsia"/>
          <w:sz w:val="24"/>
          <w:szCs w:val="24"/>
        </w:rPr>
        <w:t>、德富</w:t>
      </w:r>
      <w:proofErr w:type="gramStart"/>
      <w:r w:rsidRPr="002C0D21">
        <w:rPr>
          <w:rFonts w:ascii="宋体" w:eastAsia="宋体" w:hAnsi="宋体" w:hint="eastAsia"/>
          <w:sz w:val="24"/>
          <w:szCs w:val="24"/>
        </w:rPr>
        <w:t>勤电子</w:t>
      </w:r>
      <w:proofErr w:type="gramEnd"/>
      <w:r w:rsidRPr="002C0D21">
        <w:rPr>
          <w:rFonts w:ascii="宋体" w:eastAsia="宋体" w:hAnsi="宋体" w:hint="eastAsia"/>
          <w:sz w:val="24"/>
          <w:szCs w:val="24"/>
        </w:rPr>
        <w:t>科技集团（徐州）有限公司、厦门云攀风能科技有限公司签署的《江苏安防增资协议》已生效，协议各方均依照《江苏安防增资协议》的相关约定进行资产交割，相关方未出现违反协议约定的情形。</w:t>
      </w:r>
    </w:p>
    <w:p w14:paraId="3AA29237" w14:textId="4571DCB4" w:rsidR="00667C64" w:rsidRPr="002C0D21" w:rsidRDefault="00667C64" w:rsidP="00667C64">
      <w:pPr>
        <w:spacing w:beforeLines="50" w:before="156" w:afterLines="50" w:after="156" w:line="360" w:lineRule="auto"/>
        <w:ind w:firstLineChars="200" w:firstLine="480"/>
        <w:rPr>
          <w:rFonts w:ascii="宋体" w:eastAsia="宋体" w:hAnsi="宋体"/>
          <w:sz w:val="24"/>
          <w:szCs w:val="24"/>
          <w:highlight w:val="yellow"/>
        </w:rPr>
      </w:pPr>
      <w:r w:rsidRPr="002C0D21">
        <w:rPr>
          <w:rFonts w:ascii="宋体" w:eastAsia="宋体" w:hAnsi="宋体" w:hint="eastAsia"/>
          <w:sz w:val="24"/>
          <w:szCs w:val="24"/>
        </w:rPr>
        <w:t>截至本</w:t>
      </w:r>
      <w:r w:rsidR="00D22EFC">
        <w:rPr>
          <w:rFonts w:ascii="宋体" w:eastAsia="宋体" w:hAnsi="宋体" w:hint="eastAsia"/>
          <w:sz w:val="24"/>
          <w:szCs w:val="24"/>
        </w:rPr>
        <w:t>报告书</w:t>
      </w:r>
      <w:r w:rsidRPr="002C0D21">
        <w:rPr>
          <w:rFonts w:ascii="宋体" w:eastAsia="宋体" w:hAnsi="宋体" w:hint="eastAsia"/>
          <w:sz w:val="24"/>
          <w:szCs w:val="24"/>
        </w:rPr>
        <w:t>出具日，</w:t>
      </w:r>
      <w:proofErr w:type="gramStart"/>
      <w:r w:rsidRPr="002C0D21">
        <w:rPr>
          <w:rFonts w:ascii="宋体" w:eastAsia="宋体" w:hAnsi="宋体" w:hint="eastAsia"/>
          <w:sz w:val="24"/>
          <w:szCs w:val="24"/>
        </w:rPr>
        <w:t>联芯科技</w:t>
      </w:r>
      <w:proofErr w:type="gramEnd"/>
      <w:r w:rsidRPr="002C0D21">
        <w:rPr>
          <w:rFonts w:ascii="宋体" w:eastAsia="宋体" w:hAnsi="宋体" w:hint="eastAsia"/>
          <w:sz w:val="24"/>
          <w:szCs w:val="24"/>
        </w:rPr>
        <w:t>与联合体成员签署的《产权交易合同》已生效，各方均依照《产权交易合同》的相关约定进行资产交割，相关方未出现违反合同约定的情形。</w:t>
      </w:r>
    </w:p>
    <w:p w14:paraId="1FB77A2E" w14:textId="2C85A1F2" w:rsidR="00667C64" w:rsidRPr="007D16DB" w:rsidRDefault="007D16DB" w:rsidP="007D16DB">
      <w:pPr>
        <w:spacing w:beforeLines="50" w:before="156" w:afterLines="50" w:after="156" w:line="360" w:lineRule="auto"/>
        <w:ind w:firstLine="482"/>
        <w:rPr>
          <w:rFonts w:ascii="宋体" w:eastAsia="宋体" w:hAnsi="宋体"/>
          <w:b/>
          <w:bCs/>
          <w:sz w:val="24"/>
          <w:szCs w:val="24"/>
        </w:rPr>
      </w:pPr>
      <w:r w:rsidRPr="002C0D21">
        <w:rPr>
          <w:rFonts w:ascii="宋体" w:eastAsia="宋体" w:hAnsi="宋体"/>
          <w:b/>
          <w:bCs/>
          <w:sz w:val="24"/>
          <w:szCs w:val="24"/>
        </w:rPr>
        <w:t>（2）</w:t>
      </w:r>
      <w:r w:rsidR="00667C64" w:rsidRPr="007D16DB">
        <w:rPr>
          <w:rFonts w:ascii="宋体" w:eastAsia="宋体" w:hAnsi="宋体" w:hint="eastAsia"/>
          <w:b/>
          <w:bCs/>
          <w:sz w:val="24"/>
          <w:szCs w:val="24"/>
        </w:rPr>
        <w:t>相关承诺的履行情况</w:t>
      </w:r>
    </w:p>
    <w:p w14:paraId="21EC41B5" w14:textId="79466652" w:rsidR="00667C64" w:rsidRPr="002C0D21" w:rsidRDefault="00667C64" w:rsidP="00667C64">
      <w:pPr>
        <w:spacing w:beforeLines="50" w:before="156" w:afterLines="50" w:after="156" w:line="360" w:lineRule="auto"/>
        <w:ind w:firstLineChars="200" w:firstLine="480"/>
        <w:rPr>
          <w:rFonts w:ascii="宋体" w:eastAsia="宋体" w:hAnsi="宋体"/>
          <w:sz w:val="24"/>
          <w:szCs w:val="24"/>
          <w:highlight w:val="yellow"/>
        </w:rPr>
      </w:pPr>
      <w:r w:rsidRPr="002C0D21">
        <w:rPr>
          <w:rFonts w:ascii="宋体" w:eastAsia="宋体" w:hAnsi="宋体" w:hint="eastAsia"/>
          <w:sz w:val="24"/>
          <w:szCs w:val="24"/>
        </w:rPr>
        <w:t>截至本</w:t>
      </w:r>
      <w:r w:rsidR="00D22EFC">
        <w:rPr>
          <w:rFonts w:ascii="宋体" w:eastAsia="宋体" w:hAnsi="宋体" w:hint="eastAsia"/>
          <w:sz w:val="24"/>
          <w:szCs w:val="24"/>
        </w:rPr>
        <w:t>报告书</w:t>
      </w:r>
      <w:r w:rsidRPr="002C0D21">
        <w:rPr>
          <w:rFonts w:ascii="宋体" w:eastAsia="宋体" w:hAnsi="宋体" w:hint="eastAsia"/>
          <w:sz w:val="24"/>
          <w:szCs w:val="24"/>
        </w:rPr>
        <w:t>出具日，在本次交易实施过程中，大唐电信及本次交易的其他相关方不存在违反《大唐电信科技股份有限公司控股子公司增资及参股公司部分股权转让之重大资产重组暨关联交易报告书（草案）（修订稿）》中披露的相关承诺的情形，相关承诺方将继续履行其尚未履行完毕的各项承诺。</w:t>
      </w:r>
    </w:p>
    <w:p w14:paraId="3EC0517D" w14:textId="37F3CE7F" w:rsidR="00EC1019" w:rsidRPr="007D16DB" w:rsidRDefault="007D16DB" w:rsidP="007D16DB">
      <w:pPr>
        <w:spacing w:beforeLines="50" w:before="156" w:afterLines="50" w:after="156" w:line="360" w:lineRule="auto"/>
        <w:ind w:left="709" w:hanging="482"/>
        <w:outlineLvl w:val="0"/>
        <w:rPr>
          <w:rFonts w:ascii="宋体" w:eastAsia="宋体" w:hAnsi="宋体"/>
          <w:b/>
          <w:bCs/>
          <w:sz w:val="28"/>
          <w:szCs w:val="28"/>
        </w:rPr>
      </w:pPr>
      <w:r w:rsidRPr="002C0D21">
        <w:rPr>
          <w:rFonts w:ascii="宋体" w:eastAsia="宋体" w:hAnsi="宋体"/>
          <w:b/>
          <w:bCs/>
          <w:sz w:val="28"/>
          <w:szCs w:val="28"/>
        </w:rPr>
        <w:t>三、</w:t>
      </w:r>
      <w:r w:rsidRPr="002C0D21">
        <w:rPr>
          <w:rFonts w:ascii="宋体" w:eastAsia="宋体" w:hAnsi="宋体"/>
          <w:b/>
          <w:bCs/>
          <w:sz w:val="28"/>
          <w:szCs w:val="28"/>
        </w:rPr>
        <w:tab/>
      </w:r>
      <w:r w:rsidR="0003773A" w:rsidRPr="007D16DB">
        <w:rPr>
          <w:rFonts w:ascii="宋体" w:eastAsia="宋体" w:hAnsi="宋体" w:hint="eastAsia"/>
          <w:b/>
          <w:bCs/>
          <w:sz w:val="28"/>
          <w:szCs w:val="28"/>
        </w:rPr>
        <w:t>管理</w:t>
      </w:r>
      <w:proofErr w:type="gramStart"/>
      <w:r w:rsidR="0003773A" w:rsidRPr="007D16DB">
        <w:rPr>
          <w:rFonts w:ascii="宋体" w:eastAsia="宋体" w:hAnsi="宋体" w:hint="eastAsia"/>
          <w:b/>
          <w:bCs/>
          <w:sz w:val="28"/>
          <w:szCs w:val="28"/>
        </w:rPr>
        <w:t>层讨论</w:t>
      </w:r>
      <w:proofErr w:type="gramEnd"/>
      <w:r w:rsidR="0003773A" w:rsidRPr="007D16DB">
        <w:rPr>
          <w:rFonts w:ascii="宋体" w:eastAsia="宋体" w:hAnsi="宋体" w:hint="eastAsia"/>
          <w:b/>
          <w:bCs/>
          <w:sz w:val="28"/>
          <w:szCs w:val="28"/>
        </w:rPr>
        <w:t>与分析部分提及的各项业务的发展现状</w:t>
      </w:r>
    </w:p>
    <w:p w14:paraId="7199E838" w14:textId="387D3F6F" w:rsidR="002E364B" w:rsidRDefault="00963304" w:rsidP="00963304">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年受新冠疫情影响全球宏观经济增速放缓，公司所处经营环境严峻。为了进一步聚焦主业，公司逐步</w:t>
      </w:r>
      <w:proofErr w:type="gramStart"/>
      <w:r w:rsidRPr="002C0D21">
        <w:rPr>
          <w:rFonts w:ascii="Times New Roman" w:eastAsia="宋体" w:hAnsi="Times New Roman" w:cs="Times New Roman"/>
          <w:sz w:val="24"/>
          <w:szCs w:val="24"/>
        </w:rPr>
        <w:t>剥离低</w:t>
      </w:r>
      <w:proofErr w:type="gramEnd"/>
      <w:r w:rsidRPr="002C0D21">
        <w:rPr>
          <w:rFonts w:ascii="Times New Roman" w:eastAsia="宋体" w:hAnsi="Times New Roman" w:cs="Times New Roman"/>
          <w:sz w:val="24"/>
          <w:szCs w:val="24"/>
        </w:rPr>
        <w:t>毛利业务。由于主营业务正处于产业切换调整期，收入规模较去年进一步下降，此外公司经营成本费用依然较高，经营收</w:t>
      </w:r>
      <w:r w:rsidRPr="002C0D21">
        <w:rPr>
          <w:rFonts w:ascii="Times New Roman" w:eastAsia="宋体" w:hAnsi="Times New Roman" w:cs="Times New Roman"/>
          <w:sz w:val="24"/>
          <w:szCs w:val="24"/>
        </w:rPr>
        <w:lastRenderedPageBreak/>
        <w:t>入不能覆盖所有经营支出，部分参股公司尚处于研发投入阶段，导致公司按照权益法核算有较大的投资亏损，当期经营性亏损依然存在。</w:t>
      </w:r>
      <w:r w:rsidR="00A658FE">
        <w:rPr>
          <w:rFonts w:ascii="Times New Roman" w:eastAsia="宋体" w:hAnsi="Times New Roman" w:cs="Times New Roman" w:hint="eastAsia"/>
          <w:sz w:val="24"/>
          <w:szCs w:val="24"/>
        </w:rPr>
        <w:t>根据</w:t>
      </w:r>
      <w:r w:rsidR="00A658FE">
        <w:rPr>
          <w:rFonts w:ascii="Times New Roman" w:eastAsia="宋体" w:hAnsi="Times New Roman" w:cs="Times New Roman" w:hint="eastAsia"/>
          <w:sz w:val="24"/>
          <w:szCs w:val="24"/>
        </w:rPr>
        <w:t>2</w:t>
      </w:r>
      <w:r w:rsidR="00A658FE">
        <w:rPr>
          <w:rFonts w:ascii="Times New Roman" w:eastAsia="宋体" w:hAnsi="Times New Roman" w:cs="Times New Roman"/>
          <w:sz w:val="24"/>
          <w:szCs w:val="24"/>
        </w:rPr>
        <w:t>021</w:t>
      </w:r>
      <w:r w:rsidR="00A658FE">
        <w:rPr>
          <w:rFonts w:ascii="Times New Roman" w:eastAsia="宋体" w:hAnsi="Times New Roman" w:cs="Times New Roman" w:hint="eastAsia"/>
          <w:sz w:val="24"/>
          <w:szCs w:val="24"/>
        </w:rPr>
        <w:t>年</w:t>
      </w:r>
      <w:r w:rsidR="00A658FE">
        <w:rPr>
          <w:rFonts w:ascii="Times New Roman" w:eastAsia="宋体" w:hAnsi="Times New Roman" w:cs="Times New Roman" w:hint="eastAsia"/>
          <w:sz w:val="24"/>
          <w:szCs w:val="24"/>
        </w:rPr>
        <w:t>4</w:t>
      </w:r>
      <w:r w:rsidR="00A658FE">
        <w:rPr>
          <w:rFonts w:ascii="Times New Roman" w:eastAsia="宋体" w:hAnsi="Times New Roman" w:cs="Times New Roman" w:hint="eastAsia"/>
          <w:sz w:val="24"/>
          <w:szCs w:val="24"/>
        </w:rPr>
        <w:t>月</w:t>
      </w:r>
      <w:r w:rsidR="00A658FE">
        <w:rPr>
          <w:rFonts w:ascii="Times New Roman" w:eastAsia="宋体" w:hAnsi="Times New Roman" w:cs="Times New Roman" w:hint="eastAsia"/>
          <w:sz w:val="24"/>
          <w:szCs w:val="24"/>
        </w:rPr>
        <w:t>2</w:t>
      </w:r>
      <w:r w:rsidR="00A658FE">
        <w:rPr>
          <w:rFonts w:ascii="Times New Roman" w:eastAsia="宋体" w:hAnsi="Times New Roman" w:cs="Times New Roman"/>
          <w:sz w:val="24"/>
          <w:szCs w:val="24"/>
        </w:rPr>
        <w:t>9</w:t>
      </w:r>
      <w:r w:rsidR="00A658FE">
        <w:rPr>
          <w:rFonts w:ascii="Times New Roman" w:eastAsia="宋体" w:hAnsi="Times New Roman" w:cs="Times New Roman" w:hint="eastAsia"/>
          <w:sz w:val="24"/>
          <w:szCs w:val="24"/>
        </w:rPr>
        <w:t>日公司披露的立信会计师事务所（特殊普通合伙）出具的信会师报字</w:t>
      </w:r>
      <w:r w:rsidR="00A658FE">
        <w:rPr>
          <w:rFonts w:ascii="Times New Roman" w:eastAsia="宋体" w:hAnsi="Times New Roman" w:cs="Times New Roman" w:hint="eastAsia"/>
          <w:sz w:val="24"/>
          <w:szCs w:val="24"/>
        </w:rPr>
        <w:t>[</w:t>
      </w:r>
      <w:r w:rsidR="00A658FE">
        <w:rPr>
          <w:rFonts w:ascii="Times New Roman" w:eastAsia="宋体" w:hAnsi="Times New Roman" w:cs="Times New Roman"/>
          <w:sz w:val="24"/>
          <w:szCs w:val="24"/>
        </w:rPr>
        <w:t>2021]</w:t>
      </w:r>
      <w:r w:rsidR="00A658FE">
        <w:rPr>
          <w:rFonts w:ascii="Times New Roman" w:eastAsia="宋体" w:hAnsi="Times New Roman" w:cs="Times New Roman" w:hint="eastAsia"/>
          <w:sz w:val="24"/>
          <w:szCs w:val="24"/>
        </w:rPr>
        <w:t>第</w:t>
      </w:r>
      <w:r w:rsidR="00A658FE">
        <w:rPr>
          <w:rFonts w:ascii="Times New Roman" w:eastAsia="宋体" w:hAnsi="Times New Roman" w:cs="Times New Roman" w:hint="eastAsia"/>
          <w:sz w:val="24"/>
          <w:szCs w:val="24"/>
        </w:rPr>
        <w:t>Z</w:t>
      </w:r>
      <w:r w:rsidR="00A658FE">
        <w:rPr>
          <w:rFonts w:ascii="Times New Roman" w:eastAsia="宋体" w:hAnsi="Times New Roman" w:cs="Times New Roman"/>
          <w:sz w:val="24"/>
          <w:szCs w:val="24"/>
        </w:rPr>
        <w:t>G11229</w:t>
      </w:r>
      <w:r w:rsidR="00A658FE">
        <w:rPr>
          <w:rFonts w:ascii="Times New Roman" w:eastAsia="宋体" w:hAnsi="Times New Roman" w:cs="Times New Roman" w:hint="eastAsia"/>
          <w:sz w:val="24"/>
          <w:szCs w:val="24"/>
        </w:rPr>
        <w:t>号《关于大唐电信科技股份有限公司</w:t>
      </w:r>
      <w:r w:rsidR="00A658FE">
        <w:rPr>
          <w:rFonts w:ascii="Times New Roman" w:eastAsia="宋体" w:hAnsi="Times New Roman" w:cs="Times New Roman" w:hint="eastAsia"/>
          <w:sz w:val="24"/>
          <w:szCs w:val="24"/>
        </w:rPr>
        <w:t>2</w:t>
      </w:r>
      <w:r w:rsidR="00A658FE">
        <w:rPr>
          <w:rFonts w:ascii="Times New Roman" w:eastAsia="宋体" w:hAnsi="Times New Roman" w:cs="Times New Roman"/>
          <w:sz w:val="24"/>
          <w:szCs w:val="24"/>
        </w:rPr>
        <w:t>020</w:t>
      </w:r>
      <w:r w:rsidR="00A658FE">
        <w:rPr>
          <w:rFonts w:ascii="Times New Roman" w:eastAsia="宋体" w:hAnsi="Times New Roman" w:cs="Times New Roman" w:hint="eastAsia"/>
          <w:sz w:val="24"/>
          <w:szCs w:val="24"/>
        </w:rPr>
        <w:t>年度财务报告非标准无保留审计意见的专项说明》，审计意见客观反映了公司存在的持续经营风险</w:t>
      </w:r>
      <w:r w:rsidR="002E364B">
        <w:rPr>
          <w:rFonts w:ascii="Times New Roman" w:eastAsia="宋体" w:hAnsi="Times New Roman" w:cs="Times New Roman" w:hint="eastAsia"/>
          <w:sz w:val="24"/>
          <w:szCs w:val="24"/>
        </w:rPr>
        <w:t>。</w:t>
      </w:r>
      <w:r w:rsidR="002E364B" w:rsidRPr="002E364B">
        <w:rPr>
          <w:rFonts w:ascii="Times New Roman" w:eastAsia="宋体" w:hAnsi="Times New Roman" w:cs="Times New Roman" w:hint="eastAsia"/>
          <w:sz w:val="24"/>
          <w:szCs w:val="24"/>
        </w:rPr>
        <w:t>根据《上海证券交易所股票上市规则（</w:t>
      </w:r>
      <w:r w:rsidR="002E364B" w:rsidRPr="002E364B">
        <w:rPr>
          <w:rFonts w:ascii="Times New Roman" w:eastAsia="宋体" w:hAnsi="Times New Roman" w:cs="Times New Roman"/>
          <w:sz w:val="24"/>
          <w:szCs w:val="24"/>
        </w:rPr>
        <w:t xml:space="preserve">2020 </w:t>
      </w:r>
      <w:r w:rsidR="002E364B" w:rsidRPr="002E364B">
        <w:rPr>
          <w:rFonts w:ascii="Times New Roman" w:eastAsia="宋体" w:hAnsi="Times New Roman" w:cs="Times New Roman"/>
          <w:sz w:val="24"/>
          <w:szCs w:val="24"/>
        </w:rPr>
        <w:t>年</w:t>
      </w:r>
      <w:r w:rsidR="002E364B" w:rsidRPr="002E364B">
        <w:rPr>
          <w:rFonts w:ascii="Times New Roman" w:eastAsia="宋体" w:hAnsi="Times New Roman" w:cs="Times New Roman"/>
          <w:sz w:val="24"/>
          <w:szCs w:val="24"/>
        </w:rPr>
        <w:t xml:space="preserve"> 12 </w:t>
      </w:r>
      <w:r w:rsidR="002E364B" w:rsidRPr="002E364B">
        <w:rPr>
          <w:rFonts w:ascii="Times New Roman" w:eastAsia="宋体" w:hAnsi="Times New Roman" w:cs="Times New Roman"/>
          <w:sz w:val="24"/>
          <w:szCs w:val="24"/>
        </w:rPr>
        <w:t>月修订）》</w:t>
      </w:r>
      <w:r w:rsidR="002E364B" w:rsidRPr="002E364B">
        <w:rPr>
          <w:rFonts w:ascii="Times New Roman" w:eastAsia="宋体" w:hAnsi="Times New Roman" w:cs="Times New Roman"/>
          <w:sz w:val="24"/>
          <w:szCs w:val="24"/>
        </w:rPr>
        <w:t xml:space="preserve">13.3.5 </w:t>
      </w:r>
      <w:r w:rsidR="002E364B" w:rsidRPr="002E364B">
        <w:rPr>
          <w:rFonts w:ascii="Times New Roman" w:eastAsia="宋体" w:hAnsi="Times New Roman" w:cs="Times New Roman"/>
          <w:sz w:val="24"/>
          <w:szCs w:val="24"/>
        </w:rPr>
        <w:t>条及</w:t>
      </w:r>
      <w:r w:rsidR="002E364B" w:rsidRPr="002E364B">
        <w:rPr>
          <w:rFonts w:ascii="Times New Roman" w:eastAsia="宋体" w:hAnsi="Times New Roman" w:cs="Times New Roman"/>
          <w:sz w:val="24"/>
          <w:szCs w:val="24"/>
        </w:rPr>
        <w:t xml:space="preserve">13.9.2 </w:t>
      </w:r>
      <w:r w:rsidR="002E364B" w:rsidRPr="002E364B">
        <w:rPr>
          <w:rFonts w:ascii="Times New Roman" w:eastAsia="宋体" w:hAnsi="Times New Roman" w:cs="Times New Roman"/>
          <w:sz w:val="24"/>
          <w:szCs w:val="24"/>
        </w:rPr>
        <w:t>条的相关规定，公司股票于</w:t>
      </w:r>
      <w:r w:rsidR="002E364B" w:rsidRPr="002E364B">
        <w:rPr>
          <w:rFonts w:ascii="Times New Roman" w:eastAsia="宋体" w:hAnsi="Times New Roman" w:cs="Times New Roman"/>
          <w:sz w:val="24"/>
          <w:szCs w:val="24"/>
        </w:rPr>
        <w:t>2021</w:t>
      </w:r>
      <w:r w:rsidR="002E364B" w:rsidRPr="002E364B">
        <w:rPr>
          <w:rFonts w:ascii="Times New Roman" w:eastAsia="宋体" w:hAnsi="Times New Roman" w:cs="Times New Roman"/>
          <w:sz w:val="24"/>
          <w:szCs w:val="24"/>
        </w:rPr>
        <w:t>年</w:t>
      </w:r>
      <w:r w:rsidR="002E364B" w:rsidRPr="002E364B">
        <w:rPr>
          <w:rFonts w:ascii="Times New Roman" w:eastAsia="宋体" w:hAnsi="Times New Roman" w:cs="Times New Roman"/>
          <w:sz w:val="24"/>
          <w:szCs w:val="24"/>
        </w:rPr>
        <w:t>4</w:t>
      </w:r>
      <w:r w:rsidR="002E364B" w:rsidRPr="002E364B">
        <w:rPr>
          <w:rFonts w:ascii="Times New Roman" w:eastAsia="宋体" w:hAnsi="Times New Roman" w:cs="Times New Roman"/>
          <w:sz w:val="24"/>
          <w:szCs w:val="24"/>
        </w:rPr>
        <w:t>月</w:t>
      </w:r>
      <w:r w:rsidR="002E364B" w:rsidRPr="002E364B">
        <w:rPr>
          <w:rFonts w:ascii="Times New Roman" w:eastAsia="宋体" w:hAnsi="Times New Roman" w:cs="Times New Roman"/>
          <w:sz w:val="24"/>
          <w:szCs w:val="24"/>
        </w:rPr>
        <w:t>30</w:t>
      </w:r>
      <w:r w:rsidR="002E364B" w:rsidRPr="002E364B">
        <w:rPr>
          <w:rFonts w:ascii="Times New Roman" w:eastAsia="宋体" w:hAnsi="Times New Roman" w:cs="Times New Roman"/>
          <w:sz w:val="24"/>
          <w:szCs w:val="24"/>
        </w:rPr>
        <w:t>日起实施退</w:t>
      </w:r>
      <w:proofErr w:type="gramStart"/>
      <w:r w:rsidR="002E364B" w:rsidRPr="002E364B">
        <w:rPr>
          <w:rFonts w:ascii="Times New Roman" w:eastAsia="宋体" w:hAnsi="Times New Roman" w:cs="Times New Roman"/>
          <w:sz w:val="24"/>
          <w:szCs w:val="24"/>
        </w:rPr>
        <w:t>市风险</w:t>
      </w:r>
      <w:proofErr w:type="gramEnd"/>
      <w:r w:rsidR="002E364B" w:rsidRPr="002E364B">
        <w:rPr>
          <w:rFonts w:ascii="Times New Roman" w:eastAsia="宋体" w:hAnsi="Times New Roman" w:cs="Times New Roman"/>
          <w:sz w:val="24"/>
          <w:szCs w:val="24"/>
        </w:rPr>
        <w:t>警示。根据《股票上市规则》相关规定，若</w:t>
      </w:r>
      <w:r w:rsidR="002E364B">
        <w:rPr>
          <w:rFonts w:ascii="Times New Roman" w:eastAsia="宋体" w:hAnsi="Times New Roman" w:cs="Times New Roman" w:hint="eastAsia"/>
          <w:sz w:val="24"/>
          <w:szCs w:val="24"/>
        </w:rPr>
        <w:t>公司</w:t>
      </w:r>
      <w:r w:rsidR="002E364B" w:rsidRPr="002E364B">
        <w:rPr>
          <w:rFonts w:ascii="Times New Roman" w:eastAsia="宋体" w:hAnsi="Times New Roman" w:cs="Times New Roman"/>
          <w:sz w:val="24"/>
          <w:szCs w:val="24"/>
        </w:rPr>
        <w:t>2021</w:t>
      </w:r>
      <w:r w:rsidR="002E364B" w:rsidRPr="002E364B">
        <w:rPr>
          <w:rFonts w:ascii="Times New Roman" w:eastAsia="宋体" w:hAnsi="Times New Roman" w:cs="Times New Roman"/>
          <w:sz w:val="24"/>
          <w:szCs w:val="24"/>
        </w:rPr>
        <w:t>年度经审计的期末净资产继续为负值，公司股票将可能被终止上市。</w:t>
      </w:r>
    </w:p>
    <w:p w14:paraId="7B54BFC8" w14:textId="77777777" w:rsidR="00963304" w:rsidRPr="002C0D21" w:rsidRDefault="00963304" w:rsidP="00963304">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集成电路设计领域，受社保卡升级换代影响，金融社保卡芯片出货量有所降低；同时受整体汽车行业萎靡影响，车灯调节器芯片出货量及盈利水平有所下降，</w:t>
      </w:r>
      <w:r w:rsidRPr="002C0D21">
        <w:rPr>
          <w:rFonts w:ascii="Times New Roman" w:eastAsia="宋体" w:hAnsi="Times New Roman" w:cs="Times New Roman"/>
          <w:sz w:val="24"/>
          <w:szCs w:val="24"/>
        </w:rPr>
        <w:t>BMS</w:t>
      </w:r>
      <w:r w:rsidRPr="002C0D21">
        <w:rPr>
          <w:rFonts w:ascii="Times New Roman" w:eastAsia="宋体" w:hAnsi="Times New Roman" w:cs="Times New Roman"/>
          <w:sz w:val="24"/>
          <w:szCs w:val="24"/>
        </w:rPr>
        <w:t>电池监测芯片研发进展不及预期。但公司安全芯片市场占有率仍然位居国内前列，二代身份证芯片等市场占有率基本稳定，完成多省三代社保卡芯片入围，为多家银行供货金融</w:t>
      </w:r>
      <w:r w:rsidRPr="002C0D21">
        <w:rPr>
          <w:rFonts w:ascii="Times New Roman" w:eastAsia="宋体" w:hAnsi="Times New Roman" w:cs="Times New Roman"/>
          <w:sz w:val="24"/>
          <w:szCs w:val="24"/>
        </w:rPr>
        <w:t>IC</w:t>
      </w:r>
      <w:r w:rsidRPr="002C0D21">
        <w:rPr>
          <w:rFonts w:ascii="Times New Roman" w:eastAsia="宋体" w:hAnsi="Times New Roman" w:cs="Times New Roman"/>
          <w:sz w:val="24"/>
          <w:szCs w:val="24"/>
        </w:rPr>
        <w:t>卡芯片，金融支付芯片出货量继续保持较高增长态势，并持续拓展行业细分市场，进入广电直播星、</w:t>
      </w:r>
      <w:r w:rsidRPr="002C0D21">
        <w:rPr>
          <w:rFonts w:ascii="Times New Roman" w:eastAsia="宋体" w:hAnsi="Times New Roman" w:cs="Times New Roman"/>
          <w:sz w:val="24"/>
          <w:szCs w:val="24"/>
        </w:rPr>
        <w:t>ETC</w:t>
      </w:r>
      <w:r w:rsidRPr="002C0D21">
        <w:rPr>
          <w:rFonts w:ascii="Times New Roman" w:eastAsia="宋体" w:hAnsi="Times New Roman" w:cs="Times New Roman"/>
          <w:sz w:val="24"/>
          <w:szCs w:val="24"/>
        </w:rPr>
        <w:t>等市场</w:t>
      </w:r>
      <w:r w:rsidRPr="002C0D21">
        <w:rPr>
          <w:rFonts w:ascii="Times New Roman" w:eastAsia="宋体" w:hAnsi="Times New Roman" w:cs="Times New Roman"/>
          <w:sz w:val="24"/>
          <w:szCs w:val="24"/>
        </w:rPr>
        <w:t>,</w:t>
      </w:r>
      <w:r w:rsidRPr="002C0D21">
        <w:rPr>
          <w:rFonts w:ascii="Times New Roman" w:eastAsia="宋体" w:hAnsi="Times New Roman" w:cs="Times New Roman"/>
          <w:sz w:val="24"/>
          <w:szCs w:val="24"/>
        </w:rPr>
        <w:t>积极布局车联网安全芯片。</w:t>
      </w:r>
    </w:p>
    <w:p w14:paraId="7D4E472D" w14:textId="77777777" w:rsidR="00963304" w:rsidRPr="002C0D21" w:rsidRDefault="00963304" w:rsidP="00963304">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信息通信安全领域，受经济下行影响，行业终端市场竞争激烈，下游客户议价能力进一步增强，销售毛利同比下降明显。公司在巩固原有产品市场的同时积极研发具有差异化优势的新产品，持续发力行业终端市场。专用通信终端市场份额稳定；成为中国电信对讲平台</w:t>
      </w:r>
      <w:proofErr w:type="spellStart"/>
      <w:r w:rsidRPr="002C0D21">
        <w:rPr>
          <w:rFonts w:ascii="Times New Roman" w:eastAsia="宋体" w:hAnsi="Times New Roman" w:cs="Times New Roman"/>
          <w:sz w:val="24"/>
          <w:szCs w:val="24"/>
        </w:rPr>
        <w:t>CTChat</w:t>
      </w:r>
      <w:proofErr w:type="spellEnd"/>
      <w:r w:rsidRPr="002C0D21">
        <w:rPr>
          <w:rFonts w:ascii="Times New Roman" w:eastAsia="宋体" w:hAnsi="Times New Roman" w:cs="Times New Roman"/>
          <w:sz w:val="24"/>
          <w:szCs w:val="24"/>
        </w:rPr>
        <w:t>产业</w:t>
      </w:r>
      <w:proofErr w:type="gramStart"/>
      <w:r w:rsidRPr="002C0D21">
        <w:rPr>
          <w:rFonts w:ascii="Times New Roman" w:eastAsia="宋体" w:hAnsi="Times New Roman" w:cs="Times New Roman"/>
          <w:sz w:val="24"/>
          <w:szCs w:val="24"/>
        </w:rPr>
        <w:t>链重要</w:t>
      </w:r>
      <w:proofErr w:type="gramEnd"/>
      <w:r w:rsidRPr="002C0D21">
        <w:rPr>
          <w:rFonts w:ascii="Times New Roman" w:eastAsia="宋体" w:hAnsi="Times New Roman" w:cs="Times New Roman"/>
          <w:sz w:val="24"/>
          <w:szCs w:val="24"/>
        </w:rPr>
        <w:t>的终端厂商；海上风</w:t>
      </w:r>
      <w:proofErr w:type="gramStart"/>
      <w:r w:rsidRPr="002C0D21">
        <w:rPr>
          <w:rFonts w:ascii="Times New Roman" w:eastAsia="宋体" w:hAnsi="Times New Roman" w:cs="Times New Roman"/>
          <w:sz w:val="24"/>
          <w:szCs w:val="24"/>
        </w:rPr>
        <w:t>电市场合同额显著</w:t>
      </w:r>
      <w:proofErr w:type="gramEnd"/>
      <w:r w:rsidRPr="002C0D21">
        <w:rPr>
          <w:rFonts w:ascii="Times New Roman" w:eastAsia="宋体" w:hAnsi="Times New Roman" w:cs="Times New Roman"/>
          <w:sz w:val="24"/>
          <w:szCs w:val="24"/>
        </w:rPr>
        <w:t>增长；应急通信终端和解决方案获得</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年度</w:t>
      </w:r>
      <w:r w:rsidRPr="002C0D21">
        <w:rPr>
          <w:rFonts w:ascii="Times New Roman" w:eastAsia="宋体" w:hAnsi="Times New Roman" w:cs="Times New Roman"/>
          <w:sz w:val="24"/>
          <w:szCs w:val="24"/>
        </w:rPr>
        <w:t>CICC</w:t>
      </w:r>
      <w:r w:rsidRPr="002C0D21">
        <w:rPr>
          <w:rFonts w:ascii="Times New Roman" w:eastAsia="宋体" w:hAnsi="Times New Roman" w:cs="Times New Roman"/>
          <w:sz w:val="24"/>
          <w:szCs w:val="24"/>
        </w:rPr>
        <w:t>科学技术进步一等奖。</w:t>
      </w:r>
    </w:p>
    <w:p w14:paraId="3F0D7C5D" w14:textId="77777777" w:rsidR="00963304" w:rsidRPr="002C0D21" w:rsidRDefault="00963304" w:rsidP="00963304">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5G</w:t>
      </w:r>
      <w:r w:rsidRPr="002C0D21">
        <w:rPr>
          <w:rFonts w:ascii="Times New Roman" w:eastAsia="宋体" w:hAnsi="Times New Roman" w:cs="Times New Roman"/>
          <w:sz w:val="24"/>
          <w:szCs w:val="24"/>
        </w:rPr>
        <w:t>赋能应用领域，受疫情影响，高速公路机电信息化项目进度延迟，业务下滑；新业务扩展缓慢，盈利水平未达预期。运营商</w:t>
      </w:r>
      <w:r w:rsidRPr="002C0D21">
        <w:rPr>
          <w:rFonts w:ascii="Times New Roman" w:eastAsia="宋体" w:hAnsi="Times New Roman" w:cs="Times New Roman"/>
          <w:sz w:val="24"/>
          <w:szCs w:val="24"/>
        </w:rPr>
        <w:t>BOSS</w:t>
      </w:r>
      <w:r w:rsidRPr="002C0D21">
        <w:rPr>
          <w:rFonts w:ascii="Times New Roman" w:eastAsia="宋体" w:hAnsi="Times New Roman" w:cs="Times New Roman"/>
          <w:sz w:val="24"/>
          <w:szCs w:val="24"/>
        </w:rPr>
        <w:t>系统市场份额稳定；完成国家重点医疗物资保障平台、工业互联网大数据系统等的上线运营工作；构建大唐云海大数据平台产品体系，拓展大数据、云化、智能中台等新兴业务方向，为后续发展奠定了基础。</w:t>
      </w:r>
    </w:p>
    <w:p w14:paraId="0368CEBC" w14:textId="2796F815" w:rsidR="00963304" w:rsidRPr="002C0D21" w:rsidRDefault="00963304" w:rsidP="00963304">
      <w:pPr>
        <w:spacing w:beforeLines="50" w:before="156" w:afterLines="50" w:after="156" w:line="360" w:lineRule="auto"/>
        <w:ind w:firstLineChars="200" w:firstLine="480"/>
        <w:rPr>
          <w:rFonts w:ascii="Times New Roman" w:eastAsia="宋体" w:hAnsi="Times New Roman" w:cs="Times New Roman"/>
          <w:sz w:val="24"/>
          <w:szCs w:val="24"/>
        </w:rPr>
      </w:pP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年，公司在变革与发展过程中仍然存在问题与不足，各业务模块产业</w:t>
      </w:r>
      <w:proofErr w:type="gramStart"/>
      <w:r w:rsidRPr="002C0D21">
        <w:rPr>
          <w:rFonts w:ascii="Times New Roman" w:eastAsia="宋体" w:hAnsi="Times New Roman" w:cs="Times New Roman"/>
          <w:sz w:val="24"/>
          <w:szCs w:val="24"/>
        </w:rPr>
        <w:lastRenderedPageBreak/>
        <w:t>协同仍</w:t>
      </w:r>
      <w:proofErr w:type="gramEnd"/>
      <w:r w:rsidRPr="002C0D21">
        <w:rPr>
          <w:rFonts w:ascii="Times New Roman" w:eastAsia="宋体" w:hAnsi="Times New Roman" w:cs="Times New Roman"/>
          <w:sz w:val="24"/>
          <w:szCs w:val="24"/>
        </w:rPr>
        <w:t>处在磨合期，新业务方向与产品仍在不断探索中，细分市场尚未形成竞争优势。</w:t>
      </w:r>
    </w:p>
    <w:p w14:paraId="7302F99F" w14:textId="0EAB153B" w:rsidR="0003773A" w:rsidRPr="007D16DB" w:rsidRDefault="007D16DB" w:rsidP="007D16DB">
      <w:pPr>
        <w:spacing w:beforeLines="50" w:before="156" w:afterLines="50" w:after="156" w:line="360" w:lineRule="auto"/>
        <w:ind w:left="567" w:hanging="425"/>
        <w:outlineLvl w:val="0"/>
        <w:rPr>
          <w:rFonts w:ascii="宋体" w:eastAsia="宋体" w:hAnsi="宋体"/>
          <w:b/>
          <w:bCs/>
          <w:sz w:val="28"/>
          <w:szCs w:val="28"/>
        </w:rPr>
      </w:pPr>
      <w:r w:rsidRPr="002C0D21">
        <w:rPr>
          <w:rFonts w:ascii="宋体" w:eastAsia="宋体" w:hAnsi="宋体"/>
          <w:b/>
          <w:bCs/>
          <w:sz w:val="28"/>
          <w:szCs w:val="28"/>
        </w:rPr>
        <w:t>四、</w:t>
      </w:r>
      <w:r w:rsidRPr="002C0D21">
        <w:rPr>
          <w:rFonts w:ascii="宋体" w:eastAsia="宋体" w:hAnsi="宋体"/>
          <w:b/>
          <w:bCs/>
          <w:sz w:val="28"/>
          <w:szCs w:val="28"/>
        </w:rPr>
        <w:tab/>
      </w:r>
      <w:r w:rsidR="0003773A" w:rsidRPr="007D16DB">
        <w:rPr>
          <w:rFonts w:ascii="宋体" w:eastAsia="宋体" w:hAnsi="宋体" w:hint="eastAsia"/>
          <w:b/>
          <w:bCs/>
          <w:sz w:val="28"/>
          <w:szCs w:val="28"/>
        </w:rPr>
        <w:t>公司治理结构与运行情况</w:t>
      </w:r>
    </w:p>
    <w:p w14:paraId="10EF70FA" w14:textId="79039BAC" w:rsidR="00D22EFC" w:rsidRPr="00D22EFC" w:rsidRDefault="00D22EFC" w:rsidP="00D22EFC">
      <w:pPr>
        <w:spacing w:beforeLines="50" w:before="156" w:afterLines="50" w:after="156" w:line="360" w:lineRule="auto"/>
        <w:ind w:firstLineChars="200" w:firstLine="480"/>
        <w:rPr>
          <w:rFonts w:ascii="Times New Roman" w:eastAsia="宋体" w:hAnsi="Times New Roman" w:cs="Times New Roman"/>
          <w:sz w:val="24"/>
          <w:szCs w:val="24"/>
        </w:rPr>
      </w:pPr>
      <w:r w:rsidRPr="00D22EFC">
        <w:rPr>
          <w:rFonts w:ascii="Times New Roman" w:eastAsia="宋体" w:hAnsi="Times New Roman" w:cs="Times New Roman" w:hint="eastAsia"/>
          <w:sz w:val="24"/>
          <w:szCs w:val="24"/>
        </w:rPr>
        <w:t>本次重组前，</w:t>
      </w:r>
      <w:r>
        <w:rPr>
          <w:rFonts w:ascii="Times New Roman" w:eastAsia="宋体" w:hAnsi="Times New Roman" w:cs="Times New Roman" w:hint="eastAsia"/>
          <w:sz w:val="24"/>
          <w:szCs w:val="24"/>
        </w:rPr>
        <w:t>大唐电信</w:t>
      </w:r>
      <w:r w:rsidRPr="00D22EFC">
        <w:rPr>
          <w:rFonts w:ascii="Times New Roman" w:eastAsia="宋体" w:hAnsi="Times New Roman" w:cs="Times New Roman" w:hint="eastAsia"/>
          <w:sz w:val="24"/>
          <w:szCs w:val="24"/>
        </w:rPr>
        <w:t>已按照《公司法》、《证券法》、《上市公司治理准则》及《公司章程》等有关法律法规的要求，不断完善公司法人治理结构，建立健全内部控制制度，提升公司治理水平。</w:t>
      </w:r>
    </w:p>
    <w:p w14:paraId="4CCDF1E6" w14:textId="557FE2CF" w:rsidR="00D22EFC" w:rsidRPr="00D22EFC" w:rsidRDefault="00D22EFC" w:rsidP="00D22EFC">
      <w:pPr>
        <w:spacing w:beforeLines="50" w:before="156" w:afterLines="50" w:after="156" w:line="360" w:lineRule="auto"/>
        <w:ind w:firstLineChars="200" w:firstLine="480"/>
        <w:rPr>
          <w:rFonts w:ascii="Times New Roman" w:eastAsia="宋体" w:hAnsi="Times New Roman" w:cs="Times New Roman"/>
          <w:sz w:val="24"/>
          <w:szCs w:val="24"/>
        </w:rPr>
      </w:pPr>
      <w:r w:rsidRPr="00D22EFC">
        <w:rPr>
          <w:rFonts w:ascii="Times New Roman" w:eastAsia="宋体" w:hAnsi="Times New Roman" w:cs="Times New Roman" w:hint="eastAsia"/>
          <w:sz w:val="24"/>
          <w:szCs w:val="24"/>
        </w:rPr>
        <w:t>本次交易完成后，上市公司仍然具有</w:t>
      </w:r>
      <w:r w:rsidR="0073736A">
        <w:rPr>
          <w:rFonts w:ascii="Times New Roman" w:eastAsia="宋体" w:hAnsi="Times New Roman" w:cs="Times New Roman" w:hint="eastAsia"/>
          <w:sz w:val="24"/>
          <w:szCs w:val="24"/>
        </w:rPr>
        <w:t>较</w:t>
      </w:r>
      <w:r w:rsidRPr="00D22EFC">
        <w:rPr>
          <w:rFonts w:ascii="Times New Roman" w:eastAsia="宋体" w:hAnsi="Times New Roman" w:cs="Times New Roman" w:hint="eastAsia"/>
          <w:sz w:val="24"/>
          <w:szCs w:val="24"/>
        </w:rPr>
        <w:t>完善的法人治理结构，与大股东、实际控制人及其关联企业之间在资产、人员、财务、机构、业务等方面保持独立。上市公司按照《公司法》、《证券法》、中国证监会有关规定以及《上市规则》的要求，继续执行相关的议事规则和工作细则，保证公司法人治理结构的运作符合本次重组完成后公司的实际情况。</w:t>
      </w:r>
    </w:p>
    <w:p w14:paraId="7E766C55" w14:textId="6B4DAD7F" w:rsidR="00D22EFC" w:rsidRDefault="00D22EFC" w:rsidP="00D22EFC">
      <w:pPr>
        <w:spacing w:beforeLines="50" w:before="156" w:afterLines="50" w:after="156" w:line="360" w:lineRule="auto"/>
        <w:ind w:firstLineChars="200" w:firstLine="480"/>
        <w:rPr>
          <w:rFonts w:ascii="Times New Roman" w:eastAsia="宋体" w:hAnsi="Times New Roman" w:cs="Times New Roman"/>
          <w:sz w:val="24"/>
          <w:szCs w:val="24"/>
        </w:rPr>
      </w:pPr>
      <w:r w:rsidRPr="00D22EFC">
        <w:rPr>
          <w:rFonts w:ascii="Times New Roman" w:eastAsia="宋体" w:hAnsi="Times New Roman" w:cs="Times New Roman" w:hint="eastAsia"/>
          <w:sz w:val="24"/>
          <w:szCs w:val="24"/>
        </w:rPr>
        <w:t>经核查，</w:t>
      </w:r>
      <w:proofErr w:type="gramStart"/>
      <w:r w:rsidRPr="00D22EFC">
        <w:rPr>
          <w:rFonts w:ascii="Times New Roman" w:eastAsia="宋体" w:hAnsi="Times New Roman" w:cs="Times New Roman" w:hint="eastAsia"/>
          <w:sz w:val="24"/>
          <w:szCs w:val="24"/>
        </w:rPr>
        <w:t>本独立</w:t>
      </w:r>
      <w:proofErr w:type="gramEnd"/>
      <w:r w:rsidRPr="00D22EFC">
        <w:rPr>
          <w:rFonts w:ascii="Times New Roman" w:eastAsia="宋体" w:hAnsi="Times New Roman" w:cs="Times New Roman" w:hint="eastAsia"/>
          <w:sz w:val="24"/>
          <w:szCs w:val="24"/>
        </w:rPr>
        <w:t>财务顾问认为：上市公司建立了较为完善的法人治理结构，公司治理实际状况与中国证监会及上海证券交易所发布的有关上市公司治理的规范性文件的要求不存在重大差异。截至</w:t>
      </w:r>
      <w:proofErr w:type="gramStart"/>
      <w:r w:rsidRPr="00D22EFC">
        <w:rPr>
          <w:rFonts w:ascii="Times New Roman" w:eastAsia="宋体" w:hAnsi="Times New Roman" w:cs="Times New Roman" w:hint="eastAsia"/>
          <w:sz w:val="24"/>
          <w:szCs w:val="24"/>
        </w:rPr>
        <w:t>本持续</w:t>
      </w:r>
      <w:proofErr w:type="gramEnd"/>
      <w:r w:rsidRPr="00D22EFC">
        <w:rPr>
          <w:rFonts w:ascii="Times New Roman" w:eastAsia="宋体" w:hAnsi="Times New Roman" w:cs="Times New Roman" w:hint="eastAsia"/>
          <w:sz w:val="24"/>
          <w:szCs w:val="24"/>
        </w:rPr>
        <w:t>督导</w:t>
      </w:r>
      <w:r>
        <w:rPr>
          <w:rFonts w:ascii="Times New Roman" w:eastAsia="宋体" w:hAnsi="Times New Roman" w:cs="Times New Roman" w:hint="eastAsia"/>
          <w:sz w:val="24"/>
          <w:szCs w:val="24"/>
        </w:rPr>
        <w:t>报告书</w:t>
      </w:r>
      <w:r w:rsidRPr="00D22EFC">
        <w:rPr>
          <w:rFonts w:ascii="Times New Roman" w:eastAsia="宋体" w:hAnsi="Times New Roman" w:cs="Times New Roman" w:hint="eastAsia"/>
          <w:sz w:val="24"/>
          <w:szCs w:val="24"/>
        </w:rPr>
        <w:t>出具之日，公司运作规范，未发现损害中小股东利益的情形。</w:t>
      </w:r>
    </w:p>
    <w:p w14:paraId="17A94344" w14:textId="1081EC02" w:rsidR="0003773A" w:rsidRPr="007D16DB" w:rsidRDefault="007D16DB" w:rsidP="007D16DB">
      <w:pPr>
        <w:spacing w:beforeLines="50" w:before="156" w:afterLines="50" w:after="156" w:line="360" w:lineRule="auto"/>
        <w:ind w:left="709" w:hanging="482"/>
        <w:outlineLvl w:val="0"/>
        <w:rPr>
          <w:rFonts w:ascii="宋体" w:eastAsia="宋体" w:hAnsi="宋体"/>
          <w:b/>
          <w:bCs/>
          <w:sz w:val="28"/>
          <w:szCs w:val="28"/>
        </w:rPr>
      </w:pPr>
      <w:r w:rsidRPr="002C0D21">
        <w:rPr>
          <w:rFonts w:ascii="宋体" w:eastAsia="宋体" w:hAnsi="宋体"/>
          <w:b/>
          <w:bCs/>
          <w:sz w:val="28"/>
          <w:szCs w:val="28"/>
        </w:rPr>
        <w:t>五、</w:t>
      </w:r>
      <w:r w:rsidRPr="002C0D21">
        <w:rPr>
          <w:rFonts w:ascii="宋体" w:eastAsia="宋体" w:hAnsi="宋体"/>
          <w:b/>
          <w:bCs/>
          <w:sz w:val="28"/>
          <w:szCs w:val="28"/>
        </w:rPr>
        <w:tab/>
      </w:r>
      <w:r w:rsidR="0003773A" w:rsidRPr="007D16DB">
        <w:rPr>
          <w:rFonts w:ascii="宋体" w:eastAsia="宋体" w:hAnsi="宋体" w:hint="eastAsia"/>
          <w:b/>
          <w:bCs/>
          <w:sz w:val="28"/>
          <w:szCs w:val="28"/>
        </w:rPr>
        <w:t>与已公布的重组方案存在差异的其他事项</w:t>
      </w:r>
    </w:p>
    <w:p w14:paraId="609A4FD5" w14:textId="3A183DB4" w:rsidR="00D22EFC" w:rsidRPr="002C0D21" w:rsidRDefault="00D22EFC" w:rsidP="00667C64">
      <w:pPr>
        <w:spacing w:beforeLines="50" w:before="156" w:afterLines="50" w:after="156" w:line="360" w:lineRule="auto"/>
        <w:ind w:firstLineChars="200" w:firstLine="480"/>
        <w:rPr>
          <w:rFonts w:ascii="Times New Roman" w:eastAsia="宋体" w:hAnsi="Times New Roman" w:cs="Times New Roman"/>
          <w:sz w:val="24"/>
          <w:szCs w:val="24"/>
        </w:rPr>
      </w:pPr>
      <w:r w:rsidRPr="00D22EFC">
        <w:rPr>
          <w:rFonts w:ascii="Times New Roman" w:eastAsia="宋体" w:hAnsi="Times New Roman" w:cs="Times New Roman" w:hint="eastAsia"/>
          <w:sz w:val="24"/>
          <w:szCs w:val="24"/>
        </w:rPr>
        <w:t>经核查，</w:t>
      </w:r>
      <w:proofErr w:type="gramStart"/>
      <w:r w:rsidRPr="00D22EFC">
        <w:rPr>
          <w:rFonts w:ascii="Times New Roman" w:eastAsia="宋体" w:hAnsi="Times New Roman" w:cs="Times New Roman" w:hint="eastAsia"/>
          <w:sz w:val="24"/>
          <w:szCs w:val="24"/>
        </w:rPr>
        <w:t>本独立</w:t>
      </w:r>
      <w:proofErr w:type="gramEnd"/>
      <w:r w:rsidRPr="00D22EFC">
        <w:rPr>
          <w:rFonts w:ascii="Times New Roman" w:eastAsia="宋体" w:hAnsi="Times New Roman" w:cs="Times New Roman" w:hint="eastAsia"/>
          <w:sz w:val="24"/>
          <w:szCs w:val="24"/>
        </w:rPr>
        <w:t>财务顾问认为：本督导期内，本次交易各方均按照公布的重组方案履行各方责任和义务，实际实施方案与公布的重组方案无重大差异，本次交易各方将继续履行各方责任和义务。</w:t>
      </w:r>
    </w:p>
    <w:p w14:paraId="068021EF" w14:textId="77777777" w:rsidR="00601858" w:rsidRPr="002C0D21" w:rsidRDefault="00601858">
      <w:pPr>
        <w:widowControl/>
        <w:jc w:val="left"/>
        <w:rPr>
          <w:rFonts w:ascii="Times New Roman" w:eastAsia="宋体" w:hAnsi="Times New Roman" w:cs="Times New Roman"/>
          <w:sz w:val="24"/>
          <w:szCs w:val="24"/>
        </w:rPr>
      </w:pPr>
      <w:r w:rsidRPr="002C0D21">
        <w:rPr>
          <w:rFonts w:ascii="Times New Roman" w:eastAsia="宋体" w:hAnsi="Times New Roman" w:cs="Times New Roman"/>
          <w:sz w:val="24"/>
          <w:szCs w:val="24"/>
        </w:rPr>
        <w:br w:type="page"/>
      </w:r>
    </w:p>
    <w:p w14:paraId="7CA27AC7" w14:textId="6EFCE3C9" w:rsidR="00601858" w:rsidRPr="002C0D21" w:rsidRDefault="00601858" w:rsidP="00601858">
      <w:pPr>
        <w:spacing w:beforeLines="50" w:before="156" w:afterLines="50" w:after="156" w:line="360" w:lineRule="auto"/>
        <w:rPr>
          <w:rFonts w:ascii="Times New Roman" w:eastAsia="宋体" w:hAnsi="Times New Roman" w:cs="Times New Roman"/>
          <w:sz w:val="24"/>
          <w:szCs w:val="24"/>
        </w:rPr>
      </w:pPr>
      <w:r w:rsidRPr="002C0D21">
        <w:rPr>
          <w:rFonts w:ascii="Times New Roman" w:eastAsia="宋体" w:hAnsi="Times New Roman" w:cs="Times New Roman" w:hint="eastAsia"/>
          <w:sz w:val="24"/>
          <w:szCs w:val="24"/>
        </w:rPr>
        <w:lastRenderedPageBreak/>
        <w:t>（本页无正文，为《招商证券股份有限公司关于大唐电信科技股份有限公司重大资产重组暨关联交易之</w:t>
      </w:r>
      <w:r w:rsidRPr="002C0D21">
        <w:rPr>
          <w:rFonts w:ascii="Times New Roman" w:eastAsia="宋体" w:hAnsi="Times New Roman" w:cs="Times New Roman"/>
          <w:sz w:val="24"/>
          <w:szCs w:val="24"/>
        </w:rPr>
        <w:t>2020</w:t>
      </w:r>
      <w:r w:rsidRPr="002C0D21">
        <w:rPr>
          <w:rFonts w:ascii="Times New Roman" w:eastAsia="宋体" w:hAnsi="Times New Roman" w:cs="Times New Roman"/>
          <w:sz w:val="24"/>
          <w:szCs w:val="24"/>
        </w:rPr>
        <w:t>年度持续督导</w:t>
      </w:r>
      <w:r w:rsidR="00D22EFC">
        <w:rPr>
          <w:rFonts w:ascii="Times New Roman" w:eastAsia="宋体" w:hAnsi="Times New Roman" w:cs="Times New Roman" w:hint="eastAsia"/>
          <w:sz w:val="24"/>
          <w:szCs w:val="24"/>
        </w:rPr>
        <w:t>工作报告书</w:t>
      </w:r>
      <w:r w:rsidRPr="002C0D21">
        <w:rPr>
          <w:rFonts w:ascii="Times New Roman" w:eastAsia="宋体" w:hAnsi="Times New Roman" w:cs="Times New Roman" w:hint="eastAsia"/>
          <w:sz w:val="24"/>
          <w:szCs w:val="24"/>
        </w:rPr>
        <w:t>》之盖章页）</w:t>
      </w:r>
    </w:p>
    <w:p w14:paraId="004D23E6" w14:textId="77777777" w:rsidR="00601858" w:rsidRPr="002C0D21" w:rsidRDefault="00601858" w:rsidP="00601858">
      <w:pPr>
        <w:spacing w:beforeLines="50" w:before="156" w:afterLines="50" w:after="156" w:line="360" w:lineRule="auto"/>
        <w:rPr>
          <w:rFonts w:ascii="Times New Roman" w:eastAsia="宋体" w:hAnsi="Times New Roman" w:cs="Times New Roman"/>
          <w:sz w:val="24"/>
          <w:szCs w:val="24"/>
        </w:rPr>
      </w:pPr>
    </w:p>
    <w:p w14:paraId="2A66EEEB" w14:textId="77777777" w:rsidR="00601858" w:rsidRPr="002C0D21" w:rsidRDefault="00601858" w:rsidP="00601858">
      <w:pPr>
        <w:spacing w:beforeLines="50" w:before="156" w:afterLines="50" w:after="156" w:line="360" w:lineRule="auto"/>
        <w:rPr>
          <w:rFonts w:ascii="Times New Roman" w:eastAsia="宋体" w:hAnsi="Times New Roman" w:cs="Times New Roman"/>
          <w:sz w:val="24"/>
          <w:szCs w:val="24"/>
        </w:rPr>
      </w:pPr>
    </w:p>
    <w:p w14:paraId="49E88856" w14:textId="77777777" w:rsidR="00601858" w:rsidRPr="002C0D21" w:rsidRDefault="00601858" w:rsidP="00601858">
      <w:pPr>
        <w:spacing w:beforeLines="50" w:before="156" w:afterLines="50" w:after="156" w:line="360" w:lineRule="auto"/>
        <w:rPr>
          <w:rFonts w:ascii="Times New Roman" w:eastAsia="宋体" w:hAnsi="Times New Roman" w:cs="Times New Roman"/>
          <w:sz w:val="24"/>
          <w:szCs w:val="24"/>
        </w:rPr>
      </w:pPr>
    </w:p>
    <w:p w14:paraId="78C320BB" w14:textId="77777777" w:rsidR="00601858" w:rsidRPr="002C0D21" w:rsidRDefault="00601858" w:rsidP="00601858">
      <w:pPr>
        <w:spacing w:beforeLines="50" w:before="156" w:afterLines="50" w:after="156" w:line="360" w:lineRule="auto"/>
        <w:jc w:val="right"/>
        <w:rPr>
          <w:rFonts w:ascii="Times New Roman" w:eastAsia="宋体" w:hAnsi="Times New Roman" w:cs="Times New Roman"/>
          <w:sz w:val="24"/>
          <w:szCs w:val="24"/>
        </w:rPr>
      </w:pPr>
      <w:r w:rsidRPr="002C0D21">
        <w:rPr>
          <w:rFonts w:ascii="Times New Roman" w:eastAsia="宋体" w:hAnsi="Times New Roman" w:cs="Times New Roman" w:hint="eastAsia"/>
          <w:sz w:val="24"/>
          <w:szCs w:val="24"/>
        </w:rPr>
        <w:t>招商证券股份有限公司</w:t>
      </w:r>
    </w:p>
    <w:p w14:paraId="70CBAFCD" w14:textId="77777777" w:rsidR="00601858" w:rsidRPr="002C0D21" w:rsidRDefault="00601858" w:rsidP="00601858">
      <w:pPr>
        <w:spacing w:beforeLines="50" w:before="156" w:afterLines="50" w:after="156" w:line="360" w:lineRule="auto"/>
        <w:jc w:val="right"/>
        <w:rPr>
          <w:rFonts w:ascii="Times New Roman" w:eastAsia="宋体" w:hAnsi="Times New Roman" w:cs="Times New Roman"/>
          <w:sz w:val="24"/>
          <w:szCs w:val="24"/>
        </w:rPr>
      </w:pPr>
    </w:p>
    <w:p w14:paraId="51242DB4" w14:textId="519B3894" w:rsidR="00601858" w:rsidRPr="002C0D21" w:rsidRDefault="00601858" w:rsidP="00601858">
      <w:pPr>
        <w:spacing w:beforeLines="50" w:before="156" w:afterLines="50" w:after="156" w:line="360" w:lineRule="auto"/>
        <w:jc w:val="right"/>
        <w:rPr>
          <w:rFonts w:ascii="Times New Roman" w:eastAsia="宋体" w:hAnsi="Times New Roman" w:cs="Times New Roman"/>
          <w:sz w:val="24"/>
          <w:szCs w:val="24"/>
        </w:rPr>
      </w:pPr>
      <w:r w:rsidRPr="002C0D21">
        <w:rPr>
          <w:rFonts w:ascii="Times New Roman" w:eastAsia="宋体" w:hAnsi="Times New Roman" w:cs="Times New Roman"/>
          <w:sz w:val="24"/>
          <w:szCs w:val="24"/>
        </w:rPr>
        <w:t>202</w:t>
      </w:r>
      <w:r w:rsidR="00D22EFC">
        <w:rPr>
          <w:rFonts w:ascii="Times New Roman" w:eastAsia="宋体" w:hAnsi="Times New Roman" w:cs="Times New Roman"/>
          <w:sz w:val="24"/>
          <w:szCs w:val="24"/>
        </w:rPr>
        <w:t>1</w:t>
      </w:r>
      <w:r w:rsidR="00D22EFC">
        <w:rPr>
          <w:rFonts w:ascii="Times New Roman" w:eastAsia="宋体" w:hAnsi="Times New Roman" w:cs="Times New Roman" w:hint="eastAsia"/>
          <w:sz w:val="24"/>
          <w:szCs w:val="24"/>
        </w:rPr>
        <w:t>年</w:t>
      </w:r>
      <w:r w:rsidR="00D22EFC">
        <w:rPr>
          <w:rFonts w:ascii="Times New Roman" w:eastAsia="宋体" w:hAnsi="Times New Roman" w:cs="Times New Roman"/>
          <w:sz w:val="24"/>
          <w:szCs w:val="24"/>
        </w:rPr>
        <w:t>5</w:t>
      </w:r>
      <w:r w:rsidR="00D22EFC">
        <w:rPr>
          <w:rFonts w:ascii="Times New Roman" w:eastAsia="宋体" w:hAnsi="Times New Roman" w:cs="Times New Roman" w:hint="eastAsia"/>
          <w:sz w:val="24"/>
          <w:szCs w:val="24"/>
        </w:rPr>
        <w:t>月</w:t>
      </w:r>
      <w:r w:rsidR="004235E2">
        <w:rPr>
          <w:rFonts w:ascii="Times New Roman" w:eastAsia="宋体" w:hAnsi="Times New Roman" w:cs="Times New Roman"/>
          <w:sz w:val="24"/>
          <w:szCs w:val="24"/>
        </w:rPr>
        <w:t>12</w:t>
      </w:r>
      <w:r w:rsidR="004545B3">
        <w:rPr>
          <w:rFonts w:ascii="Times New Roman" w:eastAsia="宋体" w:hAnsi="Times New Roman" w:cs="Times New Roman"/>
          <w:sz w:val="24"/>
          <w:szCs w:val="24"/>
        </w:rPr>
        <w:t xml:space="preserve"> </w:t>
      </w:r>
      <w:r w:rsidRPr="002C0D21">
        <w:rPr>
          <w:rFonts w:ascii="Times New Roman" w:eastAsia="宋体" w:hAnsi="Times New Roman" w:cs="Times New Roman" w:hint="eastAsia"/>
          <w:sz w:val="24"/>
          <w:szCs w:val="24"/>
        </w:rPr>
        <w:t>日</w:t>
      </w:r>
    </w:p>
    <w:p w14:paraId="2E5FEF06" w14:textId="77777777" w:rsidR="00667C64" w:rsidRPr="002C0D21" w:rsidRDefault="00667C64" w:rsidP="00667C64">
      <w:pPr>
        <w:spacing w:beforeLines="50" w:before="156" w:afterLines="50" w:after="156" w:line="360" w:lineRule="auto"/>
        <w:ind w:firstLineChars="200" w:firstLine="480"/>
        <w:rPr>
          <w:rFonts w:ascii="Times New Roman" w:eastAsia="宋体" w:hAnsi="Times New Roman" w:cs="Times New Roman"/>
          <w:sz w:val="24"/>
          <w:szCs w:val="24"/>
          <w:highlight w:val="yellow"/>
        </w:rPr>
      </w:pPr>
    </w:p>
    <w:p w14:paraId="099F94F9" w14:textId="77777777" w:rsidR="00A00E78" w:rsidRPr="002C0D21" w:rsidRDefault="00A00E78" w:rsidP="00A00E78">
      <w:pPr>
        <w:spacing w:beforeLines="50" w:before="156" w:afterLines="50" w:after="156" w:line="360" w:lineRule="auto"/>
        <w:ind w:left="462"/>
        <w:rPr>
          <w:rFonts w:ascii="宋体" w:eastAsia="宋体" w:hAnsi="宋体"/>
          <w:sz w:val="24"/>
          <w:szCs w:val="24"/>
        </w:rPr>
      </w:pPr>
    </w:p>
    <w:p w14:paraId="2EC3AD1B" w14:textId="77777777" w:rsidR="00BD4FD6" w:rsidRPr="002C0D21" w:rsidRDefault="00BD4FD6" w:rsidP="00307D6B">
      <w:pPr>
        <w:jc w:val="left"/>
        <w:rPr>
          <w:rFonts w:ascii="宋体" w:eastAsia="宋体" w:hAnsi="宋体"/>
          <w:sz w:val="24"/>
          <w:szCs w:val="24"/>
        </w:rPr>
      </w:pPr>
    </w:p>
    <w:sectPr w:rsidR="00BD4FD6" w:rsidRPr="002C0D21" w:rsidSect="00C015CA">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FA6B" w14:textId="77777777" w:rsidR="00811C9B" w:rsidRDefault="00811C9B" w:rsidP="00C015CA">
      <w:r>
        <w:separator/>
      </w:r>
    </w:p>
  </w:endnote>
  <w:endnote w:type="continuationSeparator" w:id="0">
    <w:p w14:paraId="16F25126" w14:textId="77777777" w:rsidR="00811C9B" w:rsidRDefault="00811C9B" w:rsidP="00C0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25578"/>
      <w:docPartObj>
        <w:docPartGallery w:val="Page Numbers (Bottom of Page)"/>
        <w:docPartUnique/>
      </w:docPartObj>
    </w:sdtPr>
    <w:sdtEndPr/>
    <w:sdtContent>
      <w:p w14:paraId="258A5B3C" w14:textId="2E7F2A0F" w:rsidR="00C015CA" w:rsidRDefault="00C015CA">
        <w:pPr>
          <w:pStyle w:val="aa"/>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00BD" w14:textId="77777777" w:rsidR="00811C9B" w:rsidRDefault="00811C9B" w:rsidP="00C015CA">
      <w:r>
        <w:separator/>
      </w:r>
    </w:p>
  </w:footnote>
  <w:footnote w:type="continuationSeparator" w:id="0">
    <w:p w14:paraId="67B74EFF" w14:textId="77777777" w:rsidR="00811C9B" w:rsidRDefault="00811C9B" w:rsidP="00C01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6CD"/>
    <w:multiLevelType w:val="hybridMultilevel"/>
    <w:tmpl w:val="366EA012"/>
    <w:lvl w:ilvl="0" w:tplc="946210E4">
      <w:start w:val="1"/>
      <w:numFmt w:val="japaneseCounting"/>
      <w:lvlText w:val="%1、"/>
      <w:lvlJc w:val="left"/>
      <w:pPr>
        <w:ind w:left="942" w:hanging="48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 w15:restartNumberingAfterBreak="0">
    <w:nsid w:val="24160921"/>
    <w:multiLevelType w:val="hybridMultilevel"/>
    <w:tmpl w:val="8AB25D04"/>
    <w:lvl w:ilvl="0" w:tplc="DD6E59AC">
      <w:start w:val="1"/>
      <w:numFmt w:val="japaneseCounting"/>
      <w:lvlText w:val="（%1）"/>
      <w:lvlJc w:val="left"/>
      <w:pPr>
        <w:ind w:left="1182" w:hanging="72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 w15:restartNumberingAfterBreak="0">
    <w:nsid w:val="62005AEE"/>
    <w:multiLevelType w:val="hybridMultilevel"/>
    <w:tmpl w:val="36C22B80"/>
    <w:lvl w:ilvl="0" w:tplc="17EE51DA">
      <w:start w:val="1"/>
      <w:numFmt w:val="japaneseCounting"/>
      <w:lvlText w:val="（%1）"/>
      <w:lvlJc w:val="left"/>
      <w:pPr>
        <w:ind w:left="1182" w:hanging="720"/>
      </w:pPr>
      <w:rPr>
        <w:rFonts w:hint="default"/>
        <w:lang w:val="en-US"/>
      </w:rPr>
    </w:lvl>
    <w:lvl w:ilvl="1" w:tplc="64BCE9C2">
      <w:start w:val="1"/>
      <w:numFmt w:val="decimal"/>
      <w:lvlText w:val="（%2）"/>
      <w:lvlJc w:val="left"/>
      <w:pPr>
        <w:ind w:left="1602" w:hanging="720"/>
      </w:pPr>
      <w:rPr>
        <w:rFonts w:hint="default"/>
      </w:r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3" w15:restartNumberingAfterBreak="0">
    <w:nsid w:val="6B235EFD"/>
    <w:multiLevelType w:val="hybridMultilevel"/>
    <w:tmpl w:val="11B47322"/>
    <w:lvl w:ilvl="0" w:tplc="67DA9C0C">
      <w:start w:val="1"/>
      <w:numFmt w:val="decimal"/>
      <w:lvlText w:val="%1."/>
      <w:lvlJc w:val="left"/>
      <w:pPr>
        <w:ind w:left="1242" w:hanging="360"/>
      </w:pPr>
      <w:rPr>
        <w:rFonts w:hint="default"/>
      </w:rPr>
    </w:lvl>
    <w:lvl w:ilvl="1" w:tplc="04090019" w:tentative="1">
      <w:start w:val="1"/>
      <w:numFmt w:val="lowerLetter"/>
      <w:lvlText w:val="%2)"/>
      <w:lvlJc w:val="left"/>
      <w:pPr>
        <w:ind w:left="1722" w:hanging="420"/>
      </w:pPr>
    </w:lvl>
    <w:lvl w:ilvl="2" w:tplc="0409001B" w:tentative="1">
      <w:start w:val="1"/>
      <w:numFmt w:val="lowerRoman"/>
      <w:lvlText w:val="%3."/>
      <w:lvlJc w:val="right"/>
      <w:pPr>
        <w:ind w:left="2142" w:hanging="420"/>
      </w:pPr>
    </w:lvl>
    <w:lvl w:ilvl="3" w:tplc="0409000F" w:tentative="1">
      <w:start w:val="1"/>
      <w:numFmt w:val="decimal"/>
      <w:lvlText w:val="%4."/>
      <w:lvlJc w:val="left"/>
      <w:pPr>
        <w:ind w:left="2562" w:hanging="420"/>
      </w:pPr>
    </w:lvl>
    <w:lvl w:ilvl="4" w:tplc="04090019" w:tentative="1">
      <w:start w:val="1"/>
      <w:numFmt w:val="lowerLetter"/>
      <w:lvlText w:val="%5)"/>
      <w:lvlJc w:val="left"/>
      <w:pPr>
        <w:ind w:left="2982" w:hanging="420"/>
      </w:pPr>
    </w:lvl>
    <w:lvl w:ilvl="5" w:tplc="0409001B" w:tentative="1">
      <w:start w:val="1"/>
      <w:numFmt w:val="lowerRoman"/>
      <w:lvlText w:val="%6."/>
      <w:lvlJc w:val="right"/>
      <w:pPr>
        <w:ind w:left="3402" w:hanging="420"/>
      </w:pPr>
    </w:lvl>
    <w:lvl w:ilvl="6" w:tplc="0409000F" w:tentative="1">
      <w:start w:val="1"/>
      <w:numFmt w:val="decimal"/>
      <w:lvlText w:val="%7."/>
      <w:lvlJc w:val="left"/>
      <w:pPr>
        <w:ind w:left="3822" w:hanging="420"/>
      </w:pPr>
    </w:lvl>
    <w:lvl w:ilvl="7" w:tplc="04090019" w:tentative="1">
      <w:start w:val="1"/>
      <w:numFmt w:val="lowerLetter"/>
      <w:lvlText w:val="%8)"/>
      <w:lvlJc w:val="left"/>
      <w:pPr>
        <w:ind w:left="4242" w:hanging="420"/>
      </w:pPr>
    </w:lvl>
    <w:lvl w:ilvl="8" w:tplc="0409001B" w:tentative="1">
      <w:start w:val="1"/>
      <w:numFmt w:val="lowerRoman"/>
      <w:lvlText w:val="%9."/>
      <w:lvlJc w:val="right"/>
      <w:pPr>
        <w:ind w:left="4662"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F6"/>
    <w:rsid w:val="0003773A"/>
    <w:rsid w:val="00083B5A"/>
    <w:rsid w:val="00104A51"/>
    <w:rsid w:val="001721BF"/>
    <w:rsid w:val="00183FD4"/>
    <w:rsid w:val="001F6C3B"/>
    <w:rsid w:val="00201AD2"/>
    <w:rsid w:val="00260E6E"/>
    <w:rsid w:val="002C0D21"/>
    <w:rsid w:val="002D4C87"/>
    <w:rsid w:val="002E364B"/>
    <w:rsid w:val="00307D6B"/>
    <w:rsid w:val="00325569"/>
    <w:rsid w:val="003B1C9B"/>
    <w:rsid w:val="00407FE8"/>
    <w:rsid w:val="004235E2"/>
    <w:rsid w:val="004545B3"/>
    <w:rsid w:val="00480A32"/>
    <w:rsid w:val="005023ED"/>
    <w:rsid w:val="00601858"/>
    <w:rsid w:val="00667C64"/>
    <w:rsid w:val="0073736A"/>
    <w:rsid w:val="00797D7A"/>
    <w:rsid w:val="007D16DB"/>
    <w:rsid w:val="00811C9B"/>
    <w:rsid w:val="008A0CB3"/>
    <w:rsid w:val="00923704"/>
    <w:rsid w:val="00937AF6"/>
    <w:rsid w:val="0096311F"/>
    <w:rsid w:val="00963304"/>
    <w:rsid w:val="009C2B39"/>
    <w:rsid w:val="009D5034"/>
    <w:rsid w:val="00A00E78"/>
    <w:rsid w:val="00A658FE"/>
    <w:rsid w:val="00A761F7"/>
    <w:rsid w:val="00AB3C36"/>
    <w:rsid w:val="00BD4FD6"/>
    <w:rsid w:val="00C015CA"/>
    <w:rsid w:val="00D22EFC"/>
    <w:rsid w:val="00D352BB"/>
    <w:rsid w:val="00DF5AC7"/>
    <w:rsid w:val="00E52F1E"/>
    <w:rsid w:val="00EC1019"/>
    <w:rsid w:val="00FE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DD3C3"/>
  <w15:chartTrackingRefBased/>
  <w15:docId w15:val="{47E4A8AB-D07A-4644-AF4E-2935EA5F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7D6B"/>
    <w:pPr>
      <w:widowControl w:val="0"/>
      <w:autoSpaceDE w:val="0"/>
      <w:autoSpaceDN w:val="0"/>
      <w:adjustRightInd w:val="0"/>
    </w:pPr>
    <w:rPr>
      <w:rFonts w:ascii="宋体" w:eastAsia="宋体" w:cs="宋体"/>
      <w:color w:val="000000"/>
      <w:kern w:val="0"/>
      <w:sz w:val="24"/>
      <w:szCs w:val="24"/>
    </w:rPr>
  </w:style>
  <w:style w:type="character" w:styleId="a3">
    <w:name w:val="annotation reference"/>
    <w:basedOn w:val="a0"/>
    <w:uiPriority w:val="99"/>
    <w:semiHidden/>
    <w:unhideWhenUsed/>
    <w:rsid w:val="00C015CA"/>
    <w:rPr>
      <w:sz w:val="21"/>
      <w:szCs w:val="21"/>
    </w:rPr>
  </w:style>
  <w:style w:type="paragraph" w:styleId="a4">
    <w:name w:val="annotation text"/>
    <w:basedOn w:val="a"/>
    <w:link w:val="a5"/>
    <w:uiPriority w:val="99"/>
    <w:semiHidden/>
    <w:unhideWhenUsed/>
    <w:rsid w:val="00C015CA"/>
    <w:pPr>
      <w:jc w:val="left"/>
    </w:pPr>
  </w:style>
  <w:style w:type="character" w:customStyle="1" w:styleId="a5">
    <w:name w:val="批注文字 字符"/>
    <w:basedOn w:val="a0"/>
    <w:link w:val="a4"/>
    <w:uiPriority w:val="99"/>
    <w:semiHidden/>
    <w:rsid w:val="00C015CA"/>
  </w:style>
  <w:style w:type="paragraph" w:styleId="a6">
    <w:name w:val="annotation subject"/>
    <w:basedOn w:val="a4"/>
    <w:next w:val="a4"/>
    <w:link w:val="a7"/>
    <w:uiPriority w:val="99"/>
    <w:semiHidden/>
    <w:unhideWhenUsed/>
    <w:rsid w:val="00C015CA"/>
    <w:rPr>
      <w:b/>
      <w:bCs/>
    </w:rPr>
  </w:style>
  <w:style w:type="character" w:customStyle="1" w:styleId="a7">
    <w:name w:val="批注主题 字符"/>
    <w:basedOn w:val="a5"/>
    <w:link w:val="a6"/>
    <w:uiPriority w:val="99"/>
    <w:semiHidden/>
    <w:rsid w:val="00C015CA"/>
    <w:rPr>
      <w:b/>
      <w:bCs/>
    </w:rPr>
  </w:style>
  <w:style w:type="paragraph" w:styleId="a8">
    <w:name w:val="header"/>
    <w:basedOn w:val="a"/>
    <w:link w:val="a9"/>
    <w:uiPriority w:val="99"/>
    <w:unhideWhenUsed/>
    <w:rsid w:val="00C015C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015CA"/>
    <w:rPr>
      <w:sz w:val="18"/>
      <w:szCs w:val="18"/>
    </w:rPr>
  </w:style>
  <w:style w:type="paragraph" w:styleId="aa">
    <w:name w:val="footer"/>
    <w:basedOn w:val="a"/>
    <w:link w:val="ab"/>
    <w:uiPriority w:val="99"/>
    <w:unhideWhenUsed/>
    <w:rsid w:val="00C015CA"/>
    <w:pPr>
      <w:tabs>
        <w:tab w:val="center" w:pos="4153"/>
        <w:tab w:val="right" w:pos="8306"/>
      </w:tabs>
      <w:snapToGrid w:val="0"/>
      <w:jc w:val="left"/>
    </w:pPr>
    <w:rPr>
      <w:sz w:val="18"/>
      <w:szCs w:val="18"/>
    </w:rPr>
  </w:style>
  <w:style w:type="character" w:customStyle="1" w:styleId="ab">
    <w:name w:val="页脚 字符"/>
    <w:basedOn w:val="a0"/>
    <w:link w:val="aa"/>
    <w:uiPriority w:val="99"/>
    <w:rsid w:val="00C015CA"/>
    <w:rPr>
      <w:sz w:val="18"/>
      <w:szCs w:val="18"/>
    </w:rPr>
  </w:style>
  <w:style w:type="paragraph" w:styleId="ac">
    <w:name w:val="List Paragraph"/>
    <w:basedOn w:val="a"/>
    <w:uiPriority w:val="34"/>
    <w:qFormat/>
    <w:rsid w:val="00A00E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06AC-0371-4340-928D-2C3EC010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1732</Words>
  <Characters>9876</Characters>
  <Application>Microsoft Office Word</Application>
  <DocSecurity>0</DocSecurity>
  <Lines>82</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凌志</dc:creator>
  <cp:keywords/>
  <dc:description/>
  <cp:lastModifiedBy>肖 黎</cp:lastModifiedBy>
  <cp:revision>12</cp:revision>
  <dcterms:created xsi:type="dcterms:W3CDTF">2021-05-10T09:02:00Z</dcterms:created>
  <dcterms:modified xsi:type="dcterms:W3CDTF">2021-05-13T06:05:00Z</dcterms:modified>
</cp:coreProperties>
</file>