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0B3" w:rsidRDefault="00CA0104">
      <w:pPr>
        <w:adjustRightInd w:val="0"/>
        <w:snapToGrid w:val="0"/>
        <w:spacing w:beforeLines="50" w:before="156" w:afterLines="50" w:after="156" w:line="360" w:lineRule="auto"/>
        <w:rPr>
          <w:sz w:val="24"/>
        </w:rPr>
      </w:pPr>
      <w:r>
        <w:rPr>
          <w:sz w:val="24"/>
        </w:rPr>
        <w:t>证券代码：</w:t>
      </w:r>
      <w:r>
        <w:rPr>
          <w:sz w:val="24"/>
        </w:rPr>
        <w:t xml:space="preserve">600198          </w:t>
      </w:r>
      <w:r>
        <w:rPr>
          <w:sz w:val="24"/>
        </w:rPr>
        <w:t>证券简称：</w:t>
      </w:r>
      <w:r>
        <w:rPr>
          <w:rFonts w:hint="eastAsia"/>
          <w:kern w:val="0"/>
          <w:sz w:val="24"/>
        </w:rPr>
        <w:t>*ST</w:t>
      </w:r>
      <w:r>
        <w:rPr>
          <w:rFonts w:hint="eastAsia"/>
          <w:kern w:val="0"/>
          <w:sz w:val="24"/>
        </w:rPr>
        <w:t>大唐</w:t>
      </w:r>
      <w:r>
        <w:rPr>
          <w:sz w:val="24"/>
        </w:rPr>
        <w:t xml:space="preserve">       </w:t>
      </w:r>
      <w:r>
        <w:rPr>
          <w:sz w:val="24"/>
        </w:rPr>
        <w:t>公告编号：</w:t>
      </w:r>
      <w:r>
        <w:rPr>
          <w:sz w:val="24"/>
        </w:rPr>
        <w:t>2021-</w:t>
      </w:r>
      <w:r w:rsidR="006525F6">
        <w:rPr>
          <w:rFonts w:hint="eastAsia"/>
          <w:sz w:val="24"/>
        </w:rPr>
        <w:t>056</w:t>
      </w:r>
    </w:p>
    <w:p w:rsidR="009030B3" w:rsidRDefault="00CA0104">
      <w:pPr>
        <w:adjustRightInd w:val="0"/>
        <w:snapToGrid w:val="0"/>
        <w:spacing w:line="360" w:lineRule="auto"/>
        <w:ind w:firstLine="510"/>
        <w:jc w:val="center"/>
        <w:rPr>
          <w:rFonts w:eastAsia="黑体"/>
          <w:b/>
          <w:color w:val="FF0000"/>
          <w:sz w:val="36"/>
          <w:szCs w:val="36"/>
        </w:rPr>
      </w:pPr>
      <w:r>
        <w:rPr>
          <w:rFonts w:eastAsia="黑体"/>
          <w:b/>
          <w:color w:val="FF0000"/>
          <w:sz w:val="36"/>
          <w:szCs w:val="36"/>
        </w:rPr>
        <w:t>大唐电信科技股份有限公司</w:t>
      </w:r>
    </w:p>
    <w:p w:rsidR="009030B3" w:rsidRDefault="00CA0104">
      <w:pPr>
        <w:adjustRightInd w:val="0"/>
        <w:snapToGrid w:val="0"/>
        <w:spacing w:line="360" w:lineRule="auto"/>
        <w:ind w:firstLine="510"/>
        <w:jc w:val="center"/>
        <w:rPr>
          <w:rFonts w:eastAsia="黑体"/>
          <w:b/>
          <w:color w:val="FF0000"/>
          <w:sz w:val="36"/>
          <w:szCs w:val="36"/>
        </w:rPr>
      </w:pPr>
      <w:bookmarkStart w:id="0" w:name="_Hlk22212179"/>
      <w:r>
        <w:rPr>
          <w:rFonts w:eastAsia="黑体"/>
          <w:b/>
          <w:color w:val="FF0000"/>
          <w:sz w:val="36"/>
          <w:szCs w:val="36"/>
        </w:rPr>
        <w:t>关于本次交易摊薄即期回报情况及防范即期</w:t>
      </w:r>
      <w:bookmarkStart w:id="1" w:name="_GoBack"/>
      <w:bookmarkEnd w:id="1"/>
      <w:r>
        <w:rPr>
          <w:rFonts w:eastAsia="黑体"/>
          <w:b/>
          <w:color w:val="FF0000"/>
          <w:sz w:val="36"/>
          <w:szCs w:val="36"/>
        </w:rPr>
        <w:br/>
      </w:r>
      <w:r>
        <w:rPr>
          <w:rFonts w:eastAsia="黑体"/>
          <w:b/>
          <w:color w:val="FF0000"/>
          <w:sz w:val="36"/>
          <w:szCs w:val="36"/>
        </w:rPr>
        <w:t>回报被摊</w:t>
      </w:r>
      <w:proofErr w:type="gramStart"/>
      <w:r>
        <w:rPr>
          <w:rFonts w:eastAsia="黑体"/>
          <w:b/>
          <w:color w:val="FF0000"/>
          <w:sz w:val="36"/>
          <w:szCs w:val="36"/>
        </w:rPr>
        <w:t>薄措施</w:t>
      </w:r>
      <w:proofErr w:type="gramEnd"/>
      <w:r>
        <w:rPr>
          <w:rFonts w:eastAsia="黑体"/>
          <w:b/>
          <w:color w:val="FF0000"/>
          <w:sz w:val="36"/>
          <w:szCs w:val="36"/>
        </w:rPr>
        <w:t>的公告</w:t>
      </w:r>
      <w:bookmarkEnd w:id="0"/>
    </w:p>
    <w:p w:rsidR="009030B3" w:rsidRDefault="00CA0104">
      <w:pPr>
        <w:pBdr>
          <w:top w:val="single" w:sz="4" w:space="1" w:color="auto"/>
          <w:left w:val="single" w:sz="4" w:space="4" w:color="auto"/>
          <w:bottom w:val="single" w:sz="4" w:space="1" w:color="auto"/>
          <w:right w:val="single" w:sz="4" w:space="4" w:color="auto"/>
        </w:pBdr>
        <w:adjustRightInd w:val="0"/>
        <w:snapToGrid w:val="0"/>
        <w:spacing w:beforeLines="50" w:before="156" w:afterLines="50" w:after="156" w:line="360" w:lineRule="auto"/>
        <w:ind w:firstLineChars="200" w:firstLine="480"/>
        <w:rPr>
          <w:color w:val="000000"/>
          <w:sz w:val="24"/>
        </w:rPr>
      </w:pPr>
      <w:r>
        <w:rPr>
          <w:color w:val="000000"/>
          <w:sz w:val="24"/>
        </w:rPr>
        <w:t>本公司董事会及全体董事保证本公告内容不存在任何虚假记载、误导性陈述或者重大遗漏，并对其内容的真实性、准确性和完整性承担个别及连带责任。</w:t>
      </w:r>
    </w:p>
    <w:p w:rsidR="009030B3" w:rsidRDefault="009030B3">
      <w:pPr>
        <w:autoSpaceDE w:val="0"/>
        <w:autoSpaceDN w:val="0"/>
        <w:adjustRightInd w:val="0"/>
        <w:snapToGrid w:val="0"/>
        <w:spacing w:beforeLines="50" w:before="156" w:afterLines="50" w:after="156" w:line="360" w:lineRule="auto"/>
        <w:rPr>
          <w:color w:val="000000"/>
        </w:rPr>
      </w:pPr>
    </w:p>
    <w:p w:rsidR="009030B3" w:rsidRDefault="00CA0104">
      <w:pPr>
        <w:tabs>
          <w:tab w:val="left" w:pos="142"/>
        </w:tabs>
        <w:adjustRightInd w:val="0"/>
        <w:snapToGrid w:val="0"/>
        <w:spacing w:line="360" w:lineRule="auto"/>
        <w:ind w:firstLineChars="200" w:firstLine="480"/>
        <w:rPr>
          <w:sz w:val="24"/>
        </w:rPr>
      </w:pPr>
      <w:r>
        <w:rPr>
          <w:sz w:val="24"/>
        </w:rPr>
        <w:t>大唐电信科技股份有限公司（以下简称</w:t>
      </w:r>
      <w:r>
        <w:rPr>
          <w:sz w:val="24"/>
        </w:rPr>
        <w:t>“</w:t>
      </w:r>
      <w:r>
        <w:rPr>
          <w:rFonts w:hint="eastAsia"/>
          <w:sz w:val="24"/>
        </w:rPr>
        <w:t>大唐电信</w:t>
      </w:r>
      <w:r>
        <w:rPr>
          <w:sz w:val="24"/>
        </w:rPr>
        <w:t>”</w:t>
      </w:r>
      <w:r>
        <w:rPr>
          <w:rFonts w:hint="eastAsia"/>
          <w:sz w:val="24"/>
        </w:rPr>
        <w:t>或</w:t>
      </w:r>
      <w:r>
        <w:rPr>
          <w:sz w:val="24"/>
        </w:rPr>
        <w:t>“</w:t>
      </w:r>
      <w:r>
        <w:rPr>
          <w:sz w:val="24"/>
        </w:rPr>
        <w:t>公司</w:t>
      </w:r>
      <w:r>
        <w:rPr>
          <w:sz w:val="24"/>
        </w:rPr>
        <w:t>”</w:t>
      </w:r>
      <w:r>
        <w:rPr>
          <w:sz w:val="24"/>
        </w:rPr>
        <w:t>或</w:t>
      </w:r>
      <w:r>
        <w:rPr>
          <w:sz w:val="24"/>
        </w:rPr>
        <w:t>“</w:t>
      </w:r>
      <w:r>
        <w:rPr>
          <w:sz w:val="24"/>
        </w:rPr>
        <w:t>上市公司</w:t>
      </w:r>
      <w:r>
        <w:rPr>
          <w:sz w:val="24"/>
        </w:rPr>
        <w:t>”</w:t>
      </w:r>
      <w:r>
        <w:rPr>
          <w:sz w:val="24"/>
        </w:rPr>
        <w:t>）拟对下属企业大唐微电子技术有限公司（以下简称</w:t>
      </w:r>
      <w:r>
        <w:rPr>
          <w:sz w:val="24"/>
        </w:rPr>
        <w:t>“</w:t>
      </w:r>
      <w:r>
        <w:rPr>
          <w:sz w:val="24"/>
        </w:rPr>
        <w:t>大唐微电子</w:t>
      </w:r>
      <w:r>
        <w:rPr>
          <w:sz w:val="24"/>
        </w:rPr>
        <w:t>”</w:t>
      </w:r>
      <w:r>
        <w:rPr>
          <w:sz w:val="24"/>
        </w:rPr>
        <w:t>）</w:t>
      </w:r>
      <w:r>
        <w:rPr>
          <w:rFonts w:hint="eastAsia"/>
          <w:sz w:val="24"/>
        </w:rPr>
        <w:t>通过非公开协议的方式引入国</w:t>
      </w:r>
      <w:proofErr w:type="gramStart"/>
      <w:r>
        <w:rPr>
          <w:rFonts w:hint="eastAsia"/>
          <w:sz w:val="24"/>
        </w:rPr>
        <w:t>新建信股权</w:t>
      </w:r>
      <w:proofErr w:type="gramEnd"/>
      <w:r>
        <w:rPr>
          <w:rFonts w:hint="eastAsia"/>
          <w:sz w:val="24"/>
        </w:rPr>
        <w:t>投资基金（成都）合伙企业（有限合伙）（以下简称“国新建信”）实施增资扩股</w:t>
      </w:r>
      <w:r>
        <w:rPr>
          <w:sz w:val="24"/>
        </w:rPr>
        <w:t>（以下简称</w:t>
      </w:r>
      <w:r>
        <w:rPr>
          <w:sz w:val="24"/>
        </w:rPr>
        <w:t>“</w:t>
      </w:r>
      <w:r>
        <w:rPr>
          <w:sz w:val="24"/>
        </w:rPr>
        <w:t>本次交易</w:t>
      </w:r>
      <w:r>
        <w:rPr>
          <w:sz w:val="24"/>
        </w:rPr>
        <w:t>”</w:t>
      </w:r>
      <w:r>
        <w:rPr>
          <w:sz w:val="24"/>
        </w:rPr>
        <w:t>）。根据《上市公司重大资产重组管理办法》的规定，本次交易构成上市公司重大资产重组。</w:t>
      </w:r>
    </w:p>
    <w:p w:rsidR="009030B3" w:rsidRDefault="00CA0104">
      <w:pPr>
        <w:tabs>
          <w:tab w:val="left" w:pos="142"/>
        </w:tabs>
        <w:adjustRightInd w:val="0"/>
        <w:snapToGrid w:val="0"/>
        <w:spacing w:line="360" w:lineRule="auto"/>
        <w:ind w:firstLineChars="200" w:firstLine="480"/>
        <w:rPr>
          <w:sz w:val="24"/>
        </w:rPr>
      </w:pPr>
      <w:bookmarkStart w:id="2" w:name="_Hlk22211291"/>
      <w:r>
        <w:rPr>
          <w:sz w:val="24"/>
        </w:rPr>
        <w:t>根据《国务院办公厅关于进一步加强资本本市场中小投资者合法权益保护工作的意见》（国办发</w:t>
      </w:r>
      <w:r>
        <w:rPr>
          <w:sz w:val="24"/>
        </w:rPr>
        <w:t>[2013]110</w:t>
      </w:r>
      <w:r>
        <w:rPr>
          <w:sz w:val="24"/>
        </w:rPr>
        <w:t>号）、《国务院关于进一步促进资本市场健康发展的若干意见》（国办发</w:t>
      </w:r>
      <w:r>
        <w:rPr>
          <w:sz w:val="24"/>
        </w:rPr>
        <w:t>[2014]17</w:t>
      </w:r>
      <w:r>
        <w:rPr>
          <w:sz w:val="24"/>
        </w:rPr>
        <w:t>号）及《关于首发及再融资、重大资产重组摊薄即期回报有关事项的指导意见》（证监会公告</w:t>
      </w:r>
      <w:r>
        <w:rPr>
          <w:sz w:val="24"/>
        </w:rPr>
        <w:t>[2015]31</w:t>
      </w:r>
      <w:r>
        <w:rPr>
          <w:sz w:val="24"/>
        </w:rPr>
        <w:t>号）的相关规定，就</w:t>
      </w:r>
      <w:r>
        <w:rPr>
          <w:sz w:val="24"/>
        </w:rPr>
        <w:t>本次交易对公司即期回报摊</w:t>
      </w:r>
      <w:proofErr w:type="gramStart"/>
      <w:r>
        <w:rPr>
          <w:sz w:val="24"/>
        </w:rPr>
        <w:t>薄情况</w:t>
      </w:r>
      <w:proofErr w:type="gramEnd"/>
      <w:r>
        <w:rPr>
          <w:sz w:val="24"/>
        </w:rPr>
        <w:t>及公司防范即期回报被摊</w:t>
      </w:r>
      <w:proofErr w:type="gramStart"/>
      <w:r>
        <w:rPr>
          <w:sz w:val="24"/>
        </w:rPr>
        <w:t>薄措施</w:t>
      </w:r>
      <w:proofErr w:type="gramEnd"/>
      <w:r>
        <w:rPr>
          <w:sz w:val="24"/>
        </w:rPr>
        <w:t>说明如下：</w:t>
      </w:r>
      <w:bookmarkEnd w:id="2"/>
    </w:p>
    <w:p w:rsidR="009030B3" w:rsidRDefault="00CA0104">
      <w:pPr>
        <w:tabs>
          <w:tab w:val="left" w:pos="142"/>
        </w:tabs>
        <w:adjustRightInd w:val="0"/>
        <w:snapToGrid w:val="0"/>
        <w:spacing w:beforeLines="50" w:before="156" w:afterLines="50" w:after="156" w:line="360" w:lineRule="auto"/>
        <w:ind w:firstLineChars="200" w:firstLine="482"/>
        <w:rPr>
          <w:b/>
          <w:sz w:val="24"/>
        </w:rPr>
      </w:pPr>
      <w:bookmarkStart w:id="3" w:name="_Hlk22211306"/>
      <w:r>
        <w:rPr>
          <w:b/>
          <w:sz w:val="24"/>
        </w:rPr>
        <w:t>一、本次交易的基本情况</w:t>
      </w:r>
    </w:p>
    <w:p w:rsidR="009030B3" w:rsidRDefault="00CA0104">
      <w:pPr>
        <w:tabs>
          <w:tab w:val="left" w:pos="142"/>
        </w:tabs>
        <w:adjustRightInd w:val="0"/>
        <w:snapToGrid w:val="0"/>
        <w:spacing w:line="360" w:lineRule="auto"/>
        <w:ind w:firstLineChars="200" w:firstLine="480"/>
        <w:rPr>
          <w:sz w:val="24"/>
        </w:rPr>
      </w:pPr>
      <w:bookmarkStart w:id="4" w:name="_Hlk22540184"/>
      <w:r>
        <w:rPr>
          <w:sz w:val="24"/>
        </w:rPr>
        <w:t>大唐电信拟在下属企业大唐微电子层面引入国</w:t>
      </w:r>
      <w:proofErr w:type="gramStart"/>
      <w:r>
        <w:rPr>
          <w:sz w:val="24"/>
        </w:rPr>
        <w:t>新建信</w:t>
      </w:r>
      <w:proofErr w:type="gramEnd"/>
      <w:r>
        <w:rPr>
          <w:sz w:val="24"/>
        </w:rPr>
        <w:t>基金增资，国</w:t>
      </w:r>
      <w:proofErr w:type="gramStart"/>
      <w:r>
        <w:rPr>
          <w:sz w:val="24"/>
        </w:rPr>
        <w:t>新建信</w:t>
      </w:r>
      <w:proofErr w:type="gramEnd"/>
      <w:r>
        <w:rPr>
          <w:sz w:val="24"/>
        </w:rPr>
        <w:t>基金以现金向大唐微电子增资，增资总金额为人民币</w:t>
      </w:r>
      <w:r>
        <w:rPr>
          <w:sz w:val="24"/>
        </w:rPr>
        <w:t>40,000</w:t>
      </w:r>
      <w:r>
        <w:rPr>
          <w:sz w:val="24"/>
        </w:rPr>
        <w:t>万元，</w:t>
      </w:r>
      <w:bookmarkEnd w:id="4"/>
      <w:r>
        <w:rPr>
          <w:rFonts w:hint="eastAsia"/>
          <w:sz w:val="24"/>
        </w:rPr>
        <w:t>增资完成后国</w:t>
      </w:r>
      <w:proofErr w:type="gramStart"/>
      <w:r>
        <w:rPr>
          <w:rFonts w:hint="eastAsia"/>
          <w:sz w:val="24"/>
        </w:rPr>
        <w:t>新建信</w:t>
      </w:r>
      <w:proofErr w:type="gramEnd"/>
      <w:r>
        <w:rPr>
          <w:rFonts w:hint="eastAsia"/>
          <w:sz w:val="24"/>
        </w:rPr>
        <w:t>基金持有大唐微电子</w:t>
      </w:r>
      <w:r>
        <w:rPr>
          <w:rFonts w:hint="eastAsia"/>
          <w:sz w:val="24"/>
        </w:rPr>
        <w:t>24.44%</w:t>
      </w:r>
      <w:r>
        <w:rPr>
          <w:rFonts w:hint="eastAsia"/>
          <w:sz w:val="24"/>
        </w:rPr>
        <w:t>股权。增资前大唐电信控股的</w:t>
      </w:r>
      <w:r>
        <w:rPr>
          <w:rFonts w:hint="eastAsia"/>
          <w:color w:val="000000"/>
          <w:sz w:val="24"/>
        </w:rPr>
        <w:t>大唐半导体设计有限公司（以下简称“</w:t>
      </w:r>
      <w:r>
        <w:rPr>
          <w:rFonts w:hint="eastAsia"/>
          <w:sz w:val="24"/>
        </w:rPr>
        <w:t>大唐半导体</w:t>
      </w:r>
      <w:r>
        <w:rPr>
          <w:rFonts w:hint="eastAsia"/>
          <w:color w:val="000000"/>
          <w:sz w:val="24"/>
        </w:rPr>
        <w:t>”）</w:t>
      </w:r>
      <w:r>
        <w:rPr>
          <w:rFonts w:hint="eastAsia"/>
          <w:sz w:val="24"/>
        </w:rPr>
        <w:t>持有大唐微电子</w:t>
      </w:r>
      <w:r>
        <w:rPr>
          <w:rFonts w:hint="eastAsia"/>
          <w:sz w:val="24"/>
        </w:rPr>
        <w:t>95.00%</w:t>
      </w:r>
      <w:r>
        <w:rPr>
          <w:rFonts w:hint="eastAsia"/>
          <w:sz w:val="24"/>
        </w:rPr>
        <w:t>股权，增资后大唐电信控股的大唐半导体持有大唐微电子</w:t>
      </w:r>
      <w:r>
        <w:rPr>
          <w:rFonts w:hint="eastAsia"/>
          <w:sz w:val="24"/>
        </w:rPr>
        <w:t>71.79%</w:t>
      </w:r>
      <w:r>
        <w:rPr>
          <w:rFonts w:hint="eastAsia"/>
          <w:sz w:val="24"/>
        </w:rPr>
        <w:t>股权，本次交易完成后大唐电信控股的大唐半导体持股比例下降</w:t>
      </w:r>
      <w:r>
        <w:rPr>
          <w:rFonts w:hint="eastAsia"/>
          <w:sz w:val="24"/>
        </w:rPr>
        <w:t>23.21</w:t>
      </w:r>
      <w:r>
        <w:rPr>
          <w:rFonts w:hint="eastAsia"/>
          <w:sz w:val="24"/>
          <w:lang w:val="zh-CN"/>
        </w:rPr>
        <w:t>个百分点</w:t>
      </w:r>
      <w:r>
        <w:rPr>
          <w:rFonts w:hint="eastAsia"/>
          <w:sz w:val="24"/>
        </w:rPr>
        <w:t>。</w:t>
      </w:r>
      <w:r>
        <w:rPr>
          <w:bCs/>
          <w:sz w:val="24"/>
        </w:rPr>
        <w:t>根据</w:t>
      </w:r>
      <w:r>
        <w:rPr>
          <w:bCs/>
          <w:sz w:val="24"/>
        </w:rPr>
        <w:t>评估机构</w:t>
      </w:r>
      <w:r>
        <w:rPr>
          <w:rFonts w:hint="eastAsia"/>
          <w:bCs/>
          <w:sz w:val="24"/>
        </w:rPr>
        <w:t>出具的中资评报字</w:t>
      </w:r>
      <w:r>
        <w:rPr>
          <w:rFonts w:hint="eastAsia"/>
          <w:bCs/>
          <w:sz w:val="24"/>
        </w:rPr>
        <w:t>[2021]192</w:t>
      </w:r>
      <w:r>
        <w:rPr>
          <w:rFonts w:hint="eastAsia"/>
          <w:bCs/>
          <w:sz w:val="24"/>
        </w:rPr>
        <w:t>号《资产评估报告》</w:t>
      </w:r>
      <w:r>
        <w:rPr>
          <w:bCs/>
          <w:sz w:val="24"/>
        </w:rPr>
        <w:t>，本次评估的基准日为</w:t>
      </w:r>
      <w:r>
        <w:rPr>
          <w:rFonts w:hint="eastAsia"/>
          <w:bCs/>
          <w:sz w:val="24"/>
        </w:rPr>
        <w:t>2020</w:t>
      </w:r>
      <w:r>
        <w:rPr>
          <w:rFonts w:hint="eastAsia"/>
          <w:bCs/>
          <w:sz w:val="24"/>
        </w:rPr>
        <w:t>年</w:t>
      </w:r>
      <w:r>
        <w:rPr>
          <w:rFonts w:hint="eastAsia"/>
          <w:bCs/>
          <w:sz w:val="24"/>
        </w:rPr>
        <w:t>12</w:t>
      </w:r>
      <w:r>
        <w:rPr>
          <w:rFonts w:hint="eastAsia"/>
          <w:bCs/>
          <w:sz w:val="24"/>
        </w:rPr>
        <w:t>月</w:t>
      </w:r>
      <w:r>
        <w:rPr>
          <w:rFonts w:hint="eastAsia"/>
          <w:bCs/>
          <w:sz w:val="24"/>
        </w:rPr>
        <w:t>31</w:t>
      </w:r>
      <w:r>
        <w:rPr>
          <w:rFonts w:hint="eastAsia"/>
          <w:bCs/>
          <w:sz w:val="24"/>
        </w:rPr>
        <w:t>日</w:t>
      </w:r>
      <w:r>
        <w:rPr>
          <w:bCs/>
          <w:sz w:val="24"/>
        </w:rPr>
        <w:t>，评估机构对</w:t>
      </w:r>
      <w:r>
        <w:rPr>
          <w:rFonts w:hint="eastAsia"/>
          <w:bCs/>
          <w:sz w:val="24"/>
        </w:rPr>
        <w:t>大唐微电子</w:t>
      </w:r>
      <w:r>
        <w:rPr>
          <w:bCs/>
          <w:sz w:val="24"/>
        </w:rPr>
        <w:t>的股东全部权益价值采用</w:t>
      </w:r>
      <w:r>
        <w:rPr>
          <w:rFonts w:hint="eastAsia"/>
          <w:bCs/>
          <w:sz w:val="24"/>
        </w:rPr>
        <w:t>资产基础法和</w:t>
      </w:r>
      <w:r>
        <w:rPr>
          <w:bCs/>
          <w:sz w:val="24"/>
        </w:rPr>
        <w:t>市场法进行评估，</w:t>
      </w:r>
      <w:r>
        <w:rPr>
          <w:bCs/>
          <w:sz w:val="24"/>
        </w:rPr>
        <w:lastRenderedPageBreak/>
        <w:t>以</w:t>
      </w:r>
      <w:r>
        <w:rPr>
          <w:rFonts w:hint="eastAsia"/>
          <w:bCs/>
          <w:sz w:val="24"/>
        </w:rPr>
        <w:t>市场法</w:t>
      </w:r>
      <w:r>
        <w:rPr>
          <w:bCs/>
          <w:sz w:val="24"/>
        </w:rPr>
        <w:t>评估结果作为最终评估结论。</w:t>
      </w:r>
      <w:r>
        <w:rPr>
          <w:rFonts w:hint="eastAsia"/>
          <w:bCs/>
          <w:sz w:val="24"/>
        </w:rPr>
        <w:t>大唐微电子净资产</w:t>
      </w:r>
      <w:r>
        <w:rPr>
          <w:bCs/>
          <w:sz w:val="24"/>
        </w:rPr>
        <w:t>的账面价值为</w:t>
      </w:r>
      <w:r>
        <w:rPr>
          <w:rFonts w:hint="eastAsia"/>
          <w:bCs/>
          <w:sz w:val="24"/>
        </w:rPr>
        <w:t>38,875.79</w:t>
      </w:r>
      <w:r>
        <w:rPr>
          <w:bCs/>
          <w:sz w:val="24"/>
        </w:rPr>
        <w:t>万元，评估价值为</w:t>
      </w:r>
      <w:r>
        <w:rPr>
          <w:rFonts w:hint="eastAsia"/>
          <w:bCs/>
          <w:sz w:val="24"/>
        </w:rPr>
        <w:t>123,695.46</w:t>
      </w:r>
      <w:r>
        <w:rPr>
          <w:bCs/>
          <w:sz w:val="24"/>
        </w:rPr>
        <w:t>万元，增值率为</w:t>
      </w:r>
      <w:r>
        <w:rPr>
          <w:rFonts w:hint="eastAsia"/>
          <w:bCs/>
          <w:sz w:val="24"/>
        </w:rPr>
        <w:t>218.18%</w:t>
      </w:r>
      <w:r>
        <w:rPr>
          <w:bCs/>
          <w:sz w:val="24"/>
        </w:rPr>
        <w:t>。经交易</w:t>
      </w:r>
      <w:r>
        <w:rPr>
          <w:rFonts w:hint="eastAsia"/>
          <w:bCs/>
          <w:sz w:val="24"/>
        </w:rPr>
        <w:t>各</w:t>
      </w:r>
      <w:r>
        <w:rPr>
          <w:bCs/>
          <w:sz w:val="24"/>
        </w:rPr>
        <w:t>方协商，本次交易作价与评估机构所出具评估报告的评估结果保持一致</w:t>
      </w:r>
      <w:r>
        <w:rPr>
          <w:rFonts w:hint="eastAsia"/>
          <w:sz w:val="24"/>
        </w:rPr>
        <w:t>。</w:t>
      </w:r>
    </w:p>
    <w:p w:rsidR="009030B3" w:rsidRDefault="00CA0104">
      <w:pPr>
        <w:tabs>
          <w:tab w:val="left" w:pos="142"/>
        </w:tabs>
        <w:adjustRightInd w:val="0"/>
        <w:snapToGrid w:val="0"/>
        <w:spacing w:line="360" w:lineRule="auto"/>
        <w:ind w:firstLineChars="200" w:firstLine="482"/>
        <w:rPr>
          <w:sz w:val="24"/>
        </w:rPr>
      </w:pPr>
      <w:r>
        <w:rPr>
          <w:rFonts w:hint="eastAsia"/>
          <w:b/>
          <w:sz w:val="24"/>
        </w:rPr>
        <w:t>二、本次交易对公司主要财务指标的影响</w:t>
      </w:r>
    </w:p>
    <w:p w:rsidR="009030B3" w:rsidRDefault="00CA0104">
      <w:pPr>
        <w:autoSpaceDE w:val="0"/>
        <w:autoSpaceDN w:val="0"/>
        <w:adjustRightInd w:val="0"/>
        <w:spacing w:line="360" w:lineRule="auto"/>
        <w:ind w:firstLine="482"/>
        <w:rPr>
          <w:rFonts w:cs="宋体"/>
          <w:color w:val="000000"/>
          <w:kern w:val="0"/>
          <w:sz w:val="24"/>
        </w:rPr>
      </w:pPr>
      <w:r>
        <w:rPr>
          <w:rFonts w:cs="宋体" w:hint="eastAsia"/>
          <w:color w:val="000000"/>
          <w:kern w:val="0"/>
          <w:sz w:val="24"/>
        </w:rPr>
        <w:t>根据立信会计师事务所（特殊普通合伙）出具的公司</w:t>
      </w:r>
      <w:r>
        <w:rPr>
          <w:rFonts w:cs="宋体"/>
          <w:color w:val="000000"/>
          <w:kern w:val="0"/>
          <w:sz w:val="24"/>
        </w:rPr>
        <w:t>2019</w:t>
      </w:r>
      <w:r>
        <w:rPr>
          <w:rFonts w:cs="宋体" w:hint="eastAsia"/>
          <w:color w:val="000000"/>
          <w:kern w:val="0"/>
          <w:sz w:val="24"/>
        </w:rPr>
        <w:t>年及</w:t>
      </w:r>
      <w:r>
        <w:rPr>
          <w:rFonts w:cs="宋体"/>
          <w:color w:val="000000"/>
          <w:kern w:val="0"/>
          <w:sz w:val="24"/>
        </w:rPr>
        <w:t>2020</w:t>
      </w:r>
      <w:r>
        <w:rPr>
          <w:rFonts w:cs="宋体"/>
          <w:color w:val="000000"/>
          <w:kern w:val="0"/>
          <w:sz w:val="24"/>
        </w:rPr>
        <w:t>年</w:t>
      </w:r>
      <w:r>
        <w:rPr>
          <w:rFonts w:cs="宋体" w:hint="eastAsia"/>
          <w:color w:val="000000"/>
          <w:kern w:val="0"/>
          <w:sz w:val="24"/>
        </w:rPr>
        <w:t>度审计报告和备考审阅报告，本次交易前后公司的主要财务指标如下：</w:t>
      </w:r>
    </w:p>
    <w:p w:rsidR="009030B3" w:rsidRDefault="00CA0104">
      <w:pPr>
        <w:autoSpaceDE w:val="0"/>
        <w:autoSpaceDN w:val="0"/>
        <w:ind w:firstLineChars="200" w:firstLine="420"/>
        <w:jc w:val="right"/>
        <w:rPr>
          <w:szCs w:val="21"/>
          <w:lang w:val="zh-CN"/>
        </w:rPr>
      </w:pPr>
      <w:r>
        <w:rPr>
          <w:rFonts w:hint="eastAsia"/>
          <w:szCs w:val="21"/>
          <w:lang w:val="zh-CN"/>
        </w:rPr>
        <w:t>单位</w:t>
      </w:r>
      <w:r>
        <w:rPr>
          <w:szCs w:val="21"/>
          <w:lang w:val="zh-CN"/>
        </w:rPr>
        <w:t>：万元</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3"/>
        <w:gridCol w:w="1094"/>
        <w:gridCol w:w="1264"/>
        <w:gridCol w:w="1042"/>
        <w:gridCol w:w="1319"/>
        <w:gridCol w:w="1264"/>
        <w:gridCol w:w="920"/>
      </w:tblGrid>
      <w:tr w:rsidR="009030B3">
        <w:trPr>
          <w:tblHeader/>
          <w:jc w:val="center"/>
        </w:trPr>
        <w:tc>
          <w:tcPr>
            <w:tcW w:w="860" w:type="pct"/>
            <w:vMerge w:val="restart"/>
          </w:tcPr>
          <w:p w:rsidR="009030B3" w:rsidRDefault="00CA0104">
            <w:pPr>
              <w:widowControl/>
              <w:jc w:val="center"/>
              <w:rPr>
                <w:b/>
                <w:kern w:val="0"/>
                <w:szCs w:val="21"/>
              </w:rPr>
            </w:pPr>
            <w:r>
              <w:rPr>
                <w:rFonts w:hint="eastAsia"/>
                <w:b/>
                <w:szCs w:val="21"/>
              </w:rPr>
              <w:t>项目</w:t>
            </w:r>
          </w:p>
        </w:tc>
        <w:tc>
          <w:tcPr>
            <w:tcW w:w="2039" w:type="pct"/>
            <w:gridSpan w:val="3"/>
            <w:tcBorders>
              <w:top w:val="single" w:sz="12" w:space="0" w:color="auto"/>
              <w:bottom w:val="single" w:sz="4" w:space="0" w:color="auto"/>
            </w:tcBorders>
          </w:tcPr>
          <w:p w:rsidR="009030B3" w:rsidRDefault="00CA0104">
            <w:pPr>
              <w:widowControl/>
              <w:wordWrap w:val="0"/>
              <w:jc w:val="center"/>
              <w:rPr>
                <w:b/>
                <w:kern w:val="0"/>
                <w:szCs w:val="21"/>
              </w:rPr>
            </w:pPr>
            <w:r>
              <w:rPr>
                <w:b/>
                <w:szCs w:val="21"/>
              </w:rPr>
              <w:t>2020</w:t>
            </w:r>
            <w:r>
              <w:rPr>
                <w:rFonts w:hint="eastAsia"/>
                <w:b/>
                <w:szCs w:val="21"/>
              </w:rPr>
              <w:t>年</w:t>
            </w:r>
            <w:r>
              <w:rPr>
                <w:rFonts w:hint="eastAsia"/>
                <w:b/>
                <w:szCs w:val="21"/>
              </w:rPr>
              <w:t>1</w:t>
            </w:r>
            <w:r>
              <w:rPr>
                <w:b/>
                <w:szCs w:val="21"/>
              </w:rPr>
              <w:t>2</w:t>
            </w:r>
            <w:r>
              <w:rPr>
                <w:rFonts w:hint="eastAsia"/>
                <w:b/>
                <w:szCs w:val="21"/>
              </w:rPr>
              <w:t>月</w:t>
            </w:r>
            <w:r>
              <w:rPr>
                <w:b/>
                <w:szCs w:val="21"/>
              </w:rPr>
              <w:t>31</w:t>
            </w:r>
            <w:r>
              <w:rPr>
                <w:rFonts w:hint="eastAsia"/>
                <w:b/>
                <w:szCs w:val="21"/>
              </w:rPr>
              <w:t>日</w:t>
            </w:r>
            <w:r>
              <w:rPr>
                <w:b/>
                <w:szCs w:val="21"/>
              </w:rPr>
              <w:t>/2020</w:t>
            </w:r>
            <w:r>
              <w:rPr>
                <w:rFonts w:hint="eastAsia"/>
                <w:b/>
                <w:szCs w:val="21"/>
              </w:rPr>
              <w:t>年度</w:t>
            </w:r>
          </w:p>
        </w:tc>
        <w:tc>
          <w:tcPr>
            <w:tcW w:w="2101" w:type="pct"/>
            <w:gridSpan w:val="3"/>
            <w:tcBorders>
              <w:top w:val="single" w:sz="12" w:space="0" w:color="auto"/>
              <w:bottom w:val="single" w:sz="4" w:space="0" w:color="auto"/>
            </w:tcBorders>
          </w:tcPr>
          <w:p w:rsidR="009030B3" w:rsidRDefault="00CA0104">
            <w:pPr>
              <w:widowControl/>
              <w:wordWrap w:val="0"/>
              <w:jc w:val="center"/>
              <w:rPr>
                <w:b/>
                <w:kern w:val="0"/>
                <w:szCs w:val="21"/>
              </w:rPr>
            </w:pPr>
            <w:r>
              <w:rPr>
                <w:b/>
                <w:kern w:val="0"/>
                <w:szCs w:val="21"/>
              </w:rPr>
              <w:t>2019</w:t>
            </w:r>
            <w:r>
              <w:rPr>
                <w:rFonts w:hint="eastAsia"/>
                <w:b/>
                <w:kern w:val="0"/>
                <w:szCs w:val="21"/>
              </w:rPr>
              <w:t>年</w:t>
            </w:r>
            <w:r>
              <w:rPr>
                <w:b/>
                <w:kern w:val="0"/>
                <w:szCs w:val="21"/>
              </w:rPr>
              <w:t>12</w:t>
            </w:r>
            <w:r>
              <w:rPr>
                <w:rFonts w:hint="eastAsia"/>
                <w:b/>
                <w:kern w:val="0"/>
                <w:szCs w:val="21"/>
              </w:rPr>
              <w:t>月</w:t>
            </w:r>
            <w:r>
              <w:rPr>
                <w:b/>
                <w:kern w:val="0"/>
                <w:szCs w:val="21"/>
              </w:rPr>
              <w:t>31</w:t>
            </w:r>
            <w:r>
              <w:rPr>
                <w:rFonts w:hint="eastAsia"/>
                <w:b/>
                <w:kern w:val="0"/>
                <w:szCs w:val="21"/>
              </w:rPr>
              <w:t>日</w:t>
            </w:r>
            <w:r>
              <w:rPr>
                <w:b/>
                <w:kern w:val="0"/>
                <w:szCs w:val="21"/>
              </w:rPr>
              <w:t>/2019</w:t>
            </w:r>
            <w:r>
              <w:rPr>
                <w:rFonts w:hint="eastAsia"/>
                <w:b/>
                <w:kern w:val="0"/>
                <w:szCs w:val="21"/>
              </w:rPr>
              <w:t>年度</w:t>
            </w:r>
          </w:p>
        </w:tc>
      </w:tr>
      <w:tr w:rsidR="009030B3">
        <w:trPr>
          <w:tblHeader/>
          <w:jc w:val="center"/>
        </w:trPr>
        <w:tc>
          <w:tcPr>
            <w:tcW w:w="860" w:type="pct"/>
            <w:vMerge/>
          </w:tcPr>
          <w:p w:rsidR="009030B3" w:rsidRDefault="009030B3">
            <w:pPr>
              <w:widowControl/>
              <w:jc w:val="center"/>
              <w:rPr>
                <w:b/>
                <w:kern w:val="0"/>
                <w:szCs w:val="21"/>
              </w:rPr>
            </w:pPr>
          </w:p>
        </w:tc>
        <w:tc>
          <w:tcPr>
            <w:tcW w:w="656" w:type="pct"/>
            <w:tcBorders>
              <w:top w:val="single" w:sz="4" w:space="0" w:color="auto"/>
              <w:bottom w:val="single" w:sz="4" w:space="0" w:color="auto"/>
            </w:tcBorders>
          </w:tcPr>
          <w:p w:rsidR="009030B3" w:rsidRDefault="00CA0104">
            <w:pPr>
              <w:widowControl/>
              <w:wordWrap w:val="0"/>
              <w:jc w:val="center"/>
              <w:rPr>
                <w:b/>
                <w:kern w:val="0"/>
                <w:szCs w:val="21"/>
              </w:rPr>
            </w:pPr>
            <w:r>
              <w:rPr>
                <w:rFonts w:hint="eastAsia"/>
                <w:b/>
                <w:szCs w:val="21"/>
              </w:rPr>
              <w:t>交易前</w:t>
            </w:r>
          </w:p>
        </w:tc>
        <w:tc>
          <w:tcPr>
            <w:tcW w:w="758" w:type="pct"/>
            <w:tcBorders>
              <w:top w:val="single" w:sz="4" w:space="0" w:color="auto"/>
              <w:bottom w:val="single" w:sz="4" w:space="0" w:color="auto"/>
            </w:tcBorders>
          </w:tcPr>
          <w:p w:rsidR="009030B3" w:rsidRDefault="00CA0104">
            <w:pPr>
              <w:widowControl/>
              <w:wordWrap w:val="0"/>
              <w:jc w:val="center"/>
              <w:rPr>
                <w:b/>
                <w:kern w:val="0"/>
                <w:szCs w:val="21"/>
              </w:rPr>
            </w:pPr>
            <w:r>
              <w:rPr>
                <w:rFonts w:hint="eastAsia"/>
                <w:b/>
                <w:szCs w:val="21"/>
              </w:rPr>
              <w:t>交易后</w:t>
            </w:r>
          </w:p>
        </w:tc>
        <w:tc>
          <w:tcPr>
            <w:tcW w:w="625" w:type="pct"/>
            <w:tcBorders>
              <w:top w:val="single" w:sz="4" w:space="0" w:color="auto"/>
              <w:bottom w:val="single" w:sz="4" w:space="0" w:color="auto"/>
            </w:tcBorders>
          </w:tcPr>
          <w:p w:rsidR="009030B3" w:rsidRDefault="00CA0104">
            <w:pPr>
              <w:widowControl/>
              <w:wordWrap w:val="0"/>
              <w:jc w:val="center"/>
              <w:rPr>
                <w:b/>
                <w:kern w:val="0"/>
                <w:szCs w:val="21"/>
              </w:rPr>
            </w:pPr>
            <w:r>
              <w:rPr>
                <w:rFonts w:hint="eastAsia"/>
                <w:b/>
                <w:szCs w:val="21"/>
              </w:rPr>
              <w:t>变动比率</w:t>
            </w:r>
          </w:p>
        </w:tc>
        <w:tc>
          <w:tcPr>
            <w:tcW w:w="791" w:type="pct"/>
            <w:tcBorders>
              <w:top w:val="single" w:sz="4" w:space="0" w:color="auto"/>
              <w:bottom w:val="single" w:sz="4" w:space="0" w:color="auto"/>
            </w:tcBorders>
          </w:tcPr>
          <w:p w:rsidR="009030B3" w:rsidRDefault="00CA0104">
            <w:pPr>
              <w:widowControl/>
              <w:wordWrap w:val="0"/>
              <w:jc w:val="center"/>
              <w:rPr>
                <w:b/>
                <w:kern w:val="0"/>
                <w:szCs w:val="21"/>
              </w:rPr>
            </w:pPr>
            <w:r>
              <w:rPr>
                <w:rFonts w:hint="eastAsia"/>
                <w:b/>
                <w:szCs w:val="21"/>
              </w:rPr>
              <w:t>交易前</w:t>
            </w:r>
          </w:p>
        </w:tc>
        <w:tc>
          <w:tcPr>
            <w:tcW w:w="758" w:type="pct"/>
            <w:tcBorders>
              <w:top w:val="single" w:sz="4" w:space="0" w:color="auto"/>
              <w:bottom w:val="single" w:sz="4" w:space="0" w:color="auto"/>
            </w:tcBorders>
          </w:tcPr>
          <w:p w:rsidR="009030B3" w:rsidRDefault="00CA0104">
            <w:pPr>
              <w:widowControl/>
              <w:wordWrap w:val="0"/>
              <w:jc w:val="center"/>
              <w:rPr>
                <w:b/>
                <w:kern w:val="0"/>
                <w:szCs w:val="21"/>
              </w:rPr>
            </w:pPr>
            <w:r>
              <w:rPr>
                <w:rFonts w:hint="eastAsia"/>
                <w:b/>
                <w:szCs w:val="21"/>
              </w:rPr>
              <w:t>交易后</w:t>
            </w:r>
          </w:p>
        </w:tc>
        <w:tc>
          <w:tcPr>
            <w:tcW w:w="552" w:type="pct"/>
            <w:tcBorders>
              <w:top w:val="single" w:sz="4" w:space="0" w:color="auto"/>
              <w:bottom w:val="single" w:sz="4" w:space="0" w:color="auto"/>
            </w:tcBorders>
          </w:tcPr>
          <w:p w:rsidR="009030B3" w:rsidRDefault="00CA0104">
            <w:pPr>
              <w:widowControl/>
              <w:wordWrap w:val="0"/>
              <w:jc w:val="center"/>
              <w:rPr>
                <w:b/>
                <w:kern w:val="0"/>
                <w:szCs w:val="21"/>
              </w:rPr>
            </w:pPr>
            <w:r>
              <w:rPr>
                <w:rFonts w:hint="eastAsia"/>
                <w:b/>
                <w:szCs w:val="21"/>
              </w:rPr>
              <w:t>变动比率</w:t>
            </w:r>
          </w:p>
        </w:tc>
      </w:tr>
      <w:tr w:rsidR="009030B3">
        <w:trPr>
          <w:jc w:val="center"/>
        </w:trPr>
        <w:tc>
          <w:tcPr>
            <w:tcW w:w="860" w:type="pct"/>
          </w:tcPr>
          <w:p w:rsidR="009030B3" w:rsidRDefault="00CA0104">
            <w:pPr>
              <w:widowControl/>
              <w:jc w:val="center"/>
              <w:rPr>
                <w:kern w:val="0"/>
                <w:szCs w:val="21"/>
              </w:rPr>
            </w:pPr>
            <w:r>
              <w:rPr>
                <w:rFonts w:hint="eastAsia"/>
                <w:szCs w:val="21"/>
              </w:rPr>
              <w:t>总资产</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314,041.93</w:t>
            </w:r>
          </w:p>
        </w:tc>
        <w:tc>
          <w:tcPr>
            <w:tcW w:w="758"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color w:val="000000"/>
                <w:kern w:val="0"/>
                <w:szCs w:val="21"/>
                <w:highlight w:val="green"/>
              </w:rPr>
            </w:pPr>
            <w:r>
              <w:rPr>
                <w:color w:val="000000"/>
                <w:kern w:val="0"/>
                <w:szCs w:val="21"/>
              </w:rPr>
              <w:t>354,041.93</w:t>
            </w:r>
          </w:p>
        </w:tc>
        <w:tc>
          <w:tcPr>
            <w:tcW w:w="625"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color w:val="000000"/>
                <w:kern w:val="0"/>
                <w:szCs w:val="21"/>
                <w:highlight w:val="green"/>
              </w:rPr>
            </w:pPr>
            <w:r>
              <w:rPr>
                <w:color w:val="000000"/>
                <w:kern w:val="0"/>
                <w:szCs w:val="21"/>
              </w:rPr>
              <w:t>12.74%</w:t>
            </w:r>
          </w:p>
        </w:tc>
        <w:tc>
          <w:tcPr>
            <w:tcW w:w="791"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576,967.76</w:t>
            </w:r>
          </w:p>
        </w:tc>
        <w:tc>
          <w:tcPr>
            <w:tcW w:w="758"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highlight w:val="green"/>
              </w:rPr>
            </w:pPr>
            <w:r>
              <w:rPr>
                <w:color w:val="000000"/>
                <w:kern w:val="0"/>
                <w:szCs w:val="21"/>
              </w:rPr>
              <w:t>616,967.76</w:t>
            </w:r>
          </w:p>
        </w:tc>
        <w:tc>
          <w:tcPr>
            <w:tcW w:w="552" w:type="pct"/>
            <w:tcBorders>
              <w:top w:val="single" w:sz="4" w:space="0" w:color="auto"/>
              <w:left w:val="nil"/>
              <w:bottom w:val="single" w:sz="4" w:space="0" w:color="auto"/>
              <w:right w:val="single" w:sz="12" w:space="0" w:color="auto"/>
            </w:tcBorders>
            <w:shd w:val="clear" w:color="000000" w:fill="FFFFFF"/>
            <w:vAlign w:val="center"/>
          </w:tcPr>
          <w:p w:rsidR="009030B3" w:rsidRDefault="00CA0104">
            <w:pPr>
              <w:widowControl/>
              <w:wordWrap w:val="0"/>
              <w:jc w:val="right"/>
              <w:rPr>
                <w:kern w:val="0"/>
                <w:szCs w:val="21"/>
                <w:highlight w:val="green"/>
              </w:rPr>
            </w:pPr>
            <w:r>
              <w:rPr>
                <w:color w:val="000000"/>
                <w:kern w:val="0"/>
                <w:szCs w:val="21"/>
              </w:rPr>
              <w:t>6.93%</w:t>
            </w:r>
          </w:p>
        </w:tc>
      </w:tr>
      <w:tr w:rsidR="009030B3">
        <w:trPr>
          <w:jc w:val="center"/>
        </w:trPr>
        <w:tc>
          <w:tcPr>
            <w:tcW w:w="860" w:type="pct"/>
          </w:tcPr>
          <w:p w:rsidR="009030B3" w:rsidRDefault="00CA0104">
            <w:pPr>
              <w:widowControl/>
              <w:wordWrap w:val="0"/>
              <w:jc w:val="center"/>
              <w:rPr>
                <w:kern w:val="0"/>
                <w:szCs w:val="21"/>
              </w:rPr>
            </w:pPr>
            <w:r>
              <w:rPr>
                <w:rFonts w:hint="eastAsia"/>
                <w:szCs w:val="21"/>
              </w:rPr>
              <w:t>总负债</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365,968.92</w:t>
            </w:r>
          </w:p>
        </w:tc>
        <w:tc>
          <w:tcPr>
            <w:tcW w:w="758"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color w:val="000000"/>
                <w:kern w:val="0"/>
                <w:szCs w:val="21"/>
                <w:highlight w:val="green"/>
              </w:rPr>
            </w:pPr>
            <w:r>
              <w:rPr>
                <w:color w:val="000000"/>
                <w:kern w:val="0"/>
                <w:szCs w:val="21"/>
              </w:rPr>
              <w:t>365,968.92</w:t>
            </w:r>
          </w:p>
        </w:tc>
        <w:tc>
          <w:tcPr>
            <w:tcW w:w="625"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color w:val="000000"/>
                <w:kern w:val="0"/>
                <w:szCs w:val="21"/>
                <w:highlight w:val="green"/>
              </w:rPr>
            </w:pPr>
            <w:r>
              <w:rPr>
                <w:color w:val="000000"/>
                <w:kern w:val="0"/>
                <w:szCs w:val="21"/>
              </w:rPr>
              <w:t>0.00%</w:t>
            </w:r>
          </w:p>
        </w:tc>
        <w:tc>
          <w:tcPr>
            <w:tcW w:w="791"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434,442.26</w:t>
            </w:r>
          </w:p>
        </w:tc>
        <w:tc>
          <w:tcPr>
            <w:tcW w:w="758"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highlight w:val="green"/>
              </w:rPr>
            </w:pPr>
            <w:r>
              <w:rPr>
                <w:color w:val="000000"/>
                <w:kern w:val="0"/>
                <w:szCs w:val="21"/>
              </w:rPr>
              <w:t>434,442.26</w:t>
            </w:r>
          </w:p>
        </w:tc>
        <w:tc>
          <w:tcPr>
            <w:tcW w:w="552" w:type="pct"/>
            <w:tcBorders>
              <w:top w:val="single" w:sz="4" w:space="0" w:color="auto"/>
              <w:left w:val="nil"/>
              <w:bottom w:val="single" w:sz="4" w:space="0" w:color="auto"/>
              <w:right w:val="single" w:sz="12" w:space="0" w:color="auto"/>
            </w:tcBorders>
            <w:shd w:val="clear" w:color="000000" w:fill="FFFFFF"/>
            <w:vAlign w:val="center"/>
          </w:tcPr>
          <w:p w:rsidR="009030B3" w:rsidRDefault="00CA0104">
            <w:pPr>
              <w:widowControl/>
              <w:wordWrap w:val="0"/>
              <w:jc w:val="right"/>
              <w:rPr>
                <w:kern w:val="0"/>
                <w:szCs w:val="21"/>
                <w:highlight w:val="green"/>
              </w:rPr>
            </w:pPr>
            <w:r>
              <w:rPr>
                <w:color w:val="000000"/>
                <w:kern w:val="0"/>
                <w:szCs w:val="21"/>
              </w:rPr>
              <w:t>0.00%</w:t>
            </w:r>
          </w:p>
        </w:tc>
      </w:tr>
      <w:tr w:rsidR="009030B3">
        <w:trPr>
          <w:jc w:val="center"/>
        </w:trPr>
        <w:tc>
          <w:tcPr>
            <w:tcW w:w="860" w:type="pct"/>
          </w:tcPr>
          <w:p w:rsidR="009030B3" w:rsidRDefault="00CA0104">
            <w:pPr>
              <w:widowControl/>
              <w:wordWrap w:val="0"/>
              <w:jc w:val="center"/>
              <w:rPr>
                <w:kern w:val="0"/>
                <w:szCs w:val="21"/>
              </w:rPr>
            </w:pPr>
            <w:r>
              <w:rPr>
                <w:rFonts w:hint="eastAsia"/>
                <w:szCs w:val="21"/>
              </w:rPr>
              <w:t>净资产</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-51,926.99</w:t>
            </w:r>
          </w:p>
        </w:tc>
        <w:tc>
          <w:tcPr>
            <w:tcW w:w="758"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color w:val="000000"/>
                <w:kern w:val="0"/>
                <w:szCs w:val="21"/>
                <w:highlight w:val="green"/>
              </w:rPr>
            </w:pPr>
            <w:r>
              <w:rPr>
                <w:color w:val="000000"/>
                <w:kern w:val="0"/>
                <w:szCs w:val="21"/>
              </w:rPr>
              <w:t>-11,926.99</w:t>
            </w:r>
          </w:p>
        </w:tc>
        <w:tc>
          <w:tcPr>
            <w:tcW w:w="625"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color w:val="000000"/>
                <w:kern w:val="0"/>
                <w:szCs w:val="21"/>
                <w:highlight w:val="green"/>
              </w:rPr>
            </w:pPr>
            <w:r>
              <w:rPr>
                <w:color w:val="000000"/>
                <w:kern w:val="0"/>
                <w:szCs w:val="21"/>
              </w:rPr>
              <w:t>77.03%</w:t>
            </w:r>
          </w:p>
        </w:tc>
        <w:tc>
          <w:tcPr>
            <w:tcW w:w="791"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142,525.50</w:t>
            </w:r>
          </w:p>
        </w:tc>
        <w:tc>
          <w:tcPr>
            <w:tcW w:w="758"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highlight w:val="green"/>
              </w:rPr>
            </w:pPr>
            <w:r>
              <w:rPr>
                <w:color w:val="000000"/>
                <w:kern w:val="0"/>
                <w:szCs w:val="21"/>
              </w:rPr>
              <w:t>182,525.50</w:t>
            </w:r>
          </w:p>
        </w:tc>
        <w:tc>
          <w:tcPr>
            <w:tcW w:w="552" w:type="pct"/>
            <w:tcBorders>
              <w:top w:val="single" w:sz="4" w:space="0" w:color="auto"/>
              <w:left w:val="nil"/>
              <w:bottom w:val="single" w:sz="4" w:space="0" w:color="auto"/>
              <w:right w:val="single" w:sz="12" w:space="0" w:color="auto"/>
            </w:tcBorders>
            <w:shd w:val="clear" w:color="000000" w:fill="FFFFFF"/>
            <w:vAlign w:val="center"/>
          </w:tcPr>
          <w:p w:rsidR="009030B3" w:rsidRDefault="00CA0104">
            <w:pPr>
              <w:widowControl/>
              <w:wordWrap w:val="0"/>
              <w:jc w:val="right"/>
              <w:rPr>
                <w:kern w:val="0"/>
                <w:szCs w:val="21"/>
                <w:highlight w:val="green"/>
              </w:rPr>
            </w:pPr>
            <w:r>
              <w:rPr>
                <w:color w:val="000000"/>
                <w:kern w:val="0"/>
                <w:szCs w:val="21"/>
              </w:rPr>
              <w:t>28.07%</w:t>
            </w:r>
          </w:p>
        </w:tc>
      </w:tr>
      <w:tr w:rsidR="009030B3">
        <w:trPr>
          <w:jc w:val="center"/>
        </w:trPr>
        <w:tc>
          <w:tcPr>
            <w:tcW w:w="860" w:type="pct"/>
          </w:tcPr>
          <w:p w:rsidR="009030B3" w:rsidRDefault="00CA0104">
            <w:pPr>
              <w:widowControl/>
              <w:wordWrap w:val="0"/>
              <w:jc w:val="center"/>
              <w:rPr>
                <w:kern w:val="0"/>
                <w:szCs w:val="21"/>
              </w:rPr>
            </w:pPr>
            <w:r>
              <w:rPr>
                <w:rFonts w:hint="eastAsia"/>
                <w:szCs w:val="21"/>
              </w:rPr>
              <w:t>归属于上市公司母公司所有者权益</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-131,187.30</w:t>
            </w:r>
          </w:p>
        </w:tc>
        <w:tc>
          <w:tcPr>
            <w:tcW w:w="758"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color w:val="000000"/>
                <w:kern w:val="0"/>
                <w:szCs w:val="21"/>
                <w:highlight w:val="green"/>
              </w:rPr>
            </w:pPr>
            <w:r>
              <w:rPr>
                <w:color w:val="000000"/>
                <w:kern w:val="0"/>
                <w:szCs w:val="21"/>
              </w:rPr>
              <w:t>-121,187.23</w:t>
            </w:r>
          </w:p>
        </w:tc>
        <w:tc>
          <w:tcPr>
            <w:tcW w:w="625"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color w:val="000000"/>
                <w:kern w:val="0"/>
                <w:szCs w:val="21"/>
                <w:highlight w:val="green"/>
              </w:rPr>
            </w:pPr>
            <w:r>
              <w:rPr>
                <w:color w:val="000000"/>
                <w:kern w:val="0"/>
                <w:szCs w:val="21"/>
              </w:rPr>
              <w:t>7.62%</w:t>
            </w:r>
          </w:p>
        </w:tc>
        <w:tc>
          <w:tcPr>
            <w:tcW w:w="791"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3,354.67</w:t>
            </w:r>
          </w:p>
        </w:tc>
        <w:tc>
          <w:tcPr>
            <w:tcW w:w="758"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highlight w:val="green"/>
              </w:rPr>
            </w:pPr>
            <w:r>
              <w:rPr>
                <w:color w:val="000000"/>
                <w:kern w:val="0"/>
                <w:szCs w:val="21"/>
              </w:rPr>
              <w:t>13,174.60</w:t>
            </w:r>
          </w:p>
        </w:tc>
        <w:tc>
          <w:tcPr>
            <w:tcW w:w="552" w:type="pct"/>
            <w:tcBorders>
              <w:top w:val="single" w:sz="4" w:space="0" w:color="auto"/>
              <w:left w:val="nil"/>
              <w:bottom w:val="single" w:sz="4" w:space="0" w:color="auto"/>
              <w:right w:val="single" w:sz="12" w:space="0" w:color="auto"/>
            </w:tcBorders>
            <w:shd w:val="clear" w:color="000000" w:fill="FFFFFF"/>
            <w:vAlign w:val="center"/>
          </w:tcPr>
          <w:p w:rsidR="009030B3" w:rsidRDefault="00CA0104">
            <w:pPr>
              <w:widowControl/>
              <w:wordWrap w:val="0"/>
              <w:jc w:val="right"/>
              <w:rPr>
                <w:kern w:val="0"/>
                <w:szCs w:val="21"/>
                <w:highlight w:val="green"/>
              </w:rPr>
            </w:pPr>
            <w:r>
              <w:rPr>
                <w:color w:val="000000"/>
                <w:kern w:val="0"/>
                <w:szCs w:val="21"/>
              </w:rPr>
              <w:t>292.72%</w:t>
            </w:r>
          </w:p>
        </w:tc>
      </w:tr>
      <w:tr w:rsidR="009030B3">
        <w:trPr>
          <w:jc w:val="center"/>
        </w:trPr>
        <w:tc>
          <w:tcPr>
            <w:tcW w:w="860" w:type="pct"/>
            <w:tcBorders>
              <w:bottom w:val="single" w:sz="4" w:space="0" w:color="auto"/>
            </w:tcBorders>
          </w:tcPr>
          <w:p w:rsidR="009030B3" w:rsidRDefault="00CA0104">
            <w:pPr>
              <w:widowControl/>
              <w:wordWrap w:val="0"/>
              <w:jc w:val="center"/>
              <w:rPr>
                <w:kern w:val="0"/>
                <w:szCs w:val="21"/>
              </w:rPr>
            </w:pPr>
            <w:r>
              <w:rPr>
                <w:rFonts w:hint="eastAsia"/>
                <w:szCs w:val="21"/>
              </w:rPr>
              <w:t>营业收入</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120,721.15</w:t>
            </w:r>
          </w:p>
        </w:tc>
        <w:tc>
          <w:tcPr>
            <w:tcW w:w="758"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color w:val="000000"/>
                <w:kern w:val="0"/>
                <w:szCs w:val="21"/>
                <w:highlight w:val="green"/>
              </w:rPr>
            </w:pPr>
            <w:r>
              <w:rPr>
                <w:color w:val="000000"/>
                <w:kern w:val="0"/>
                <w:szCs w:val="21"/>
              </w:rPr>
              <w:t>120,721.15</w:t>
            </w:r>
          </w:p>
        </w:tc>
        <w:tc>
          <w:tcPr>
            <w:tcW w:w="625"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color w:val="000000"/>
                <w:kern w:val="0"/>
                <w:szCs w:val="21"/>
                <w:highlight w:val="green"/>
              </w:rPr>
            </w:pPr>
            <w:r>
              <w:rPr>
                <w:color w:val="000000"/>
                <w:kern w:val="0"/>
                <w:szCs w:val="21"/>
              </w:rPr>
              <w:t>0.00%</w:t>
            </w:r>
          </w:p>
        </w:tc>
        <w:tc>
          <w:tcPr>
            <w:tcW w:w="791"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143,064.75</w:t>
            </w:r>
          </w:p>
        </w:tc>
        <w:tc>
          <w:tcPr>
            <w:tcW w:w="758" w:type="pct"/>
            <w:tcBorders>
              <w:top w:val="single" w:sz="4" w:space="0" w:color="auto"/>
              <w:left w:val="nil"/>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highlight w:val="green"/>
              </w:rPr>
            </w:pPr>
            <w:r>
              <w:rPr>
                <w:color w:val="000000"/>
                <w:kern w:val="0"/>
                <w:szCs w:val="21"/>
              </w:rPr>
              <w:t>143,064.75</w:t>
            </w:r>
          </w:p>
        </w:tc>
        <w:tc>
          <w:tcPr>
            <w:tcW w:w="552" w:type="pct"/>
            <w:tcBorders>
              <w:top w:val="single" w:sz="4" w:space="0" w:color="auto"/>
              <w:left w:val="nil"/>
              <w:bottom w:val="single" w:sz="4" w:space="0" w:color="auto"/>
              <w:right w:val="single" w:sz="12" w:space="0" w:color="auto"/>
            </w:tcBorders>
            <w:shd w:val="clear" w:color="000000" w:fill="FFFFFF"/>
            <w:vAlign w:val="center"/>
          </w:tcPr>
          <w:p w:rsidR="009030B3" w:rsidRDefault="00CA0104">
            <w:pPr>
              <w:widowControl/>
              <w:wordWrap w:val="0"/>
              <w:jc w:val="right"/>
              <w:rPr>
                <w:kern w:val="0"/>
                <w:szCs w:val="21"/>
                <w:highlight w:val="green"/>
              </w:rPr>
            </w:pPr>
            <w:r>
              <w:rPr>
                <w:color w:val="000000"/>
                <w:kern w:val="0"/>
                <w:szCs w:val="21"/>
              </w:rPr>
              <w:t>0.00%</w:t>
            </w:r>
          </w:p>
        </w:tc>
      </w:tr>
      <w:tr w:rsidR="009030B3">
        <w:trPr>
          <w:jc w:val="center"/>
        </w:trPr>
        <w:tc>
          <w:tcPr>
            <w:tcW w:w="860" w:type="pct"/>
            <w:tcBorders>
              <w:top w:val="single" w:sz="4" w:space="0" w:color="auto"/>
              <w:bottom w:val="single" w:sz="4" w:space="0" w:color="auto"/>
              <w:right w:val="single" w:sz="4" w:space="0" w:color="auto"/>
            </w:tcBorders>
          </w:tcPr>
          <w:p w:rsidR="009030B3" w:rsidRDefault="00CA0104">
            <w:pPr>
              <w:widowControl/>
              <w:wordWrap w:val="0"/>
              <w:jc w:val="center"/>
              <w:rPr>
                <w:kern w:val="0"/>
                <w:szCs w:val="21"/>
              </w:rPr>
            </w:pPr>
            <w:r>
              <w:rPr>
                <w:rFonts w:hint="eastAsia"/>
                <w:szCs w:val="21"/>
              </w:rPr>
              <w:t>归属上市公司母公司股东的净利润</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-136,381.11</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rsidR="009030B3" w:rsidRDefault="00CA0104">
            <w:pPr>
              <w:widowControl/>
              <w:wordWrap w:val="0"/>
              <w:jc w:val="right"/>
              <w:rPr>
                <w:color w:val="000000"/>
                <w:kern w:val="0"/>
                <w:szCs w:val="21"/>
                <w:highlight w:val="green"/>
              </w:rPr>
            </w:pPr>
            <w:r>
              <w:rPr>
                <w:color w:val="000000"/>
                <w:kern w:val="0"/>
                <w:szCs w:val="21"/>
              </w:rPr>
              <w:t>-136,200.79</w:t>
            </w:r>
          </w:p>
        </w:tc>
        <w:tc>
          <w:tcPr>
            <w:tcW w:w="625" w:type="pct"/>
            <w:tcBorders>
              <w:top w:val="single" w:sz="4" w:space="0" w:color="auto"/>
              <w:left w:val="single" w:sz="4" w:space="0" w:color="auto"/>
              <w:bottom w:val="single" w:sz="4" w:space="0" w:color="auto"/>
              <w:right w:val="single" w:sz="4" w:space="0" w:color="auto"/>
            </w:tcBorders>
            <w:shd w:val="clear" w:color="000000" w:fill="FFFFFF"/>
            <w:vAlign w:val="center"/>
          </w:tcPr>
          <w:p w:rsidR="009030B3" w:rsidRDefault="00CA0104">
            <w:pPr>
              <w:widowControl/>
              <w:wordWrap w:val="0"/>
              <w:jc w:val="right"/>
              <w:rPr>
                <w:color w:val="000000"/>
                <w:kern w:val="0"/>
                <w:szCs w:val="21"/>
                <w:highlight w:val="green"/>
              </w:rPr>
            </w:pPr>
            <w:r>
              <w:rPr>
                <w:color w:val="000000"/>
                <w:kern w:val="0"/>
                <w:szCs w:val="21"/>
              </w:rPr>
              <w:t>0.13%</w:t>
            </w:r>
          </w:p>
        </w:tc>
        <w:tc>
          <w:tcPr>
            <w:tcW w:w="791" w:type="pct"/>
            <w:tcBorders>
              <w:top w:val="single" w:sz="4" w:space="0" w:color="auto"/>
              <w:left w:val="single" w:sz="4" w:space="0" w:color="auto"/>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-89,932.32</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-79,174.83</w:t>
            </w:r>
          </w:p>
        </w:tc>
        <w:tc>
          <w:tcPr>
            <w:tcW w:w="552" w:type="pct"/>
            <w:tcBorders>
              <w:top w:val="single" w:sz="4" w:space="0" w:color="auto"/>
              <w:left w:val="single" w:sz="4" w:space="0" w:color="auto"/>
              <w:bottom w:val="single" w:sz="4" w:space="0" w:color="auto"/>
              <w:right w:val="single" w:sz="12" w:space="0" w:color="auto"/>
            </w:tcBorders>
            <w:shd w:val="clear" w:color="000000" w:fill="FFFFFF"/>
            <w:vAlign w:val="center"/>
          </w:tcPr>
          <w:p w:rsidR="009030B3" w:rsidRDefault="00CA0104">
            <w:pPr>
              <w:widowControl/>
              <w:wordWrap w:val="0"/>
              <w:jc w:val="right"/>
              <w:rPr>
                <w:kern w:val="0"/>
                <w:szCs w:val="21"/>
              </w:rPr>
            </w:pPr>
            <w:r>
              <w:rPr>
                <w:color w:val="000000"/>
                <w:kern w:val="0"/>
                <w:szCs w:val="21"/>
              </w:rPr>
              <w:t>11.96%</w:t>
            </w:r>
          </w:p>
        </w:tc>
      </w:tr>
      <w:tr w:rsidR="009030B3">
        <w:trPr>
          <w:jc w:val="center"/>
        </w:trPr>
        <w:tc>
          <w:tcPr>
            <w:tcW w:w="860" w:type="pct"/>
            <w:tcBorders>
              <w:top w:val="single" w:sz="4" w:space="0" w:color="auto"/>
              <w:bottom w:val="single" w:sz="12" w:space="0" w:color="auto"/>
              <w:right w:val="single" w:sz="4" w:space="0" w:color="auto"/>
            </w:tcBorders>
          </w:tcPr>
          <w:p w:rsidR="009030B3" w:rsidRDefault="00CA0104">
            <w:pPr>
              <w:widowControl/>
              <w:wordWrap w:val="0"/>
              <w:jc w:val="center"/>
              <w:rPr>
                <w:szCs w:val="21"/>
              </w:rPr>
            </w:pPr>
            <w:r>
              <w:rPr>
                <w:rFonts w:hint="eastAsia"/>
                <w:szCs w:val="21"/>
              </w:rPr>
              <w:t>归属上市公司母公司股东的每股基本收益（元</w:t>
            </w:r>
            <w:r>
              <w:rPr>
                <w:rFonts w:hint="eastAsia"/>
                <w:szCs w:val="21"/>
              </w:rPr>
              <w:t>/</w:t>
            </w:r>
            <w:r>
              <w:rPr>
                <w:rFonts w:hint="eastAsia"/>
                <w:szCs w:val="21"/>
              </w:rPr>
              <w:t>股）</w:t>
            </w:r>
          </w:p>
        </w:tc>
        <w:tc>
          <w:tcPr>
            <w:tcW w:w="656" w:type="pct"/>
            <w:tcBorders>
              <w:top w:val="single" w:sz="4" w:space="0" w:color="auto"/>
              <w:left w:val="single" w:sz="4" w:space="0" w:color="auto"/>
              <w:bottom w:val="single" w:sz="12" w:space="0" w:color="auto"/>
              <w:right w:val="single" w:sz="4" w:space="0" w:color="auto"/>
            </w:tcBorders>
            <w:shd w:val="clear" w:color="auto" w:fill="auto"/>
            <w:vAlign w:val="center"/>
          </w:tcPr>
          <w:p w:rsidR="009030B3" w:rsidRDefault="00CA0104">
            <w:pPr>
              <w:widowControl/>
              <w:wordWrap w:val="0"/>
              <w:jc w:val="right"/>
              <w:rPr>
                <w:color w:val="000000"/>
                <w:kern w:val="0"/>
                <w:szCs w:val="21"/>
              </w:rPr>
            </w:pPr>
            <w:r>
              <w:rPr>
                <w:color w:val="000000"/>
                <w:kern w:val="0"/>
                <w:szCs w:val="21"/>
              </w:rPr>
              <w:t xml:space="preserve"> -1.5461 </w:t>
            </w:r>
          </w:p>
        </w:tc>
        <w:tc>
          <w:tcPr>
            <w:tcW w:w="758" w:type="pct"/>
            <w:tcBorders>
              <w:top w:val="single" w:sz="4" w:space="0" w:color="auto"/>
              <w:left w:val="single" w:sz="4" w:space="0" w:color="auto"/>
              <w:bottom w:val="single" w:sz="12" w:space="0" w:color="auto"/>
              <w:right w:val="single" w:sz="4" w:space="0" w:color="auto"/>
            </w:tcBorders>
            <w:shd w:val="clear" w:color="000000" w:fill="FFFFFF"/>
            <w:vAlign w:val="center"/>
          </w:tcPr>
          <w:p w:rsidR="009030B3" w:rsidRDefault="00CA0104">
            <w:pPr>
              <w:widowControl/>
              <w:wordWrap w:val="0"/>
              <w:jc w:val="right"/>
              <w:rPr>
                <w:color w:val="000000"/>
                <w:kern w:val="0"/>
                <w:szCs w:val="21"/>
              </w:rPr>
            </w:pPr>
            <w:r>
              <w:rPr>
                <w:color w:val="000000"/>
                <w:kern w:val="0"/>
                <w:szCs w:val="21"/>
              </w:rPr>
              <w:t xml:space="preserve"> -1.5440 </w:t>
            </w:r>
          </w:p>
        </w:tc>
        <w:tc>
          <w:tcPr>
            <w:tcW w:w="625" w:type="pct"/>
            <w:tcBorders>
              <w:top w:val="single" w:sz="4" w:space="0" w:color="auto"/>
              <w:left w:val="single" w:sz="4" w:space="0" w:color="auto"/>
              <w:bottom w:val="single" w:sz="12" w:space="0" w:color="auto"/>
              <w:right w:val="single" w:sz="4" w:space="0" w:color="auto"/>
            </w:tcBorders>
            <w:shd w:val="clear" w:color="000000" w:fill="FFFFFF"/>
            <w:vAlign w:val="center"/>
          </w:tcPr>
          <w:p w:rsidR="009030B3" w:rsidRDefault="00CA0104">
            <w:pPr>
              <w:widowControl/>
              <w:wordWrap w:val="0"/>
              <w:jc w:val="right"/>
              <w:rPr>
                <w:color w:val="000000"/>
                <w:kern w:val="0"/>
                <w:szCs w:val="21"/>
              </w:rPr>
            </w:pPr>
            <w:r>
              <w:rPr>
                <w:color w:val="000000"/>
                <w:kern w:val="0"/>
                <w:szCs w:val="21"/>
              </w:rPr>
              <w:t>0.13%</w:t>
            </w:r>
          </w:p>
        </w:tc>
        <w:tc>
          <w:tcPr>
            <w:tcW w:w="791" w:type="pct"/>
            <w:tcBorders>
              <w:top w:val="single" w:sz="4" w:space="0" w:color="auto"/>
              <w:left w:val="single" w:sz="4" w:space="0" w:color="auto"/>
              <w:bottom w:val="single" w:sz="12" w:space="0" w:color="auto"/>
              <w:right w:val="single" w:sz="4" w:space="0" w:color="auto"/>
            </w:tcBorders>
            <w:shd w:val="clear" w:color="000000" w:fill="FFFFFF"/>
            <w:vAlign w:val="center"/>
          </w:tcPr>
          <w:p w:rsidR="009030B3" w:rsidRDefault="00CA0104">
            <w:pPr>
              <w:widowControl/>
              <w:wordWrap w:val="0"/>
              <w:jc w:val="right"/>
              <w:rPr>
                <w:color w:val="000000"/>
                <w:kern w:val="0"/>
                <w:szCs w:val="21"/>
              </w:rPr>
            </w:pPr>
            <w:r>
              <w:rPr>
                <w:color w:val="000000"/>
                <w:kern w:val="0"/>
                <w:szCs w:val="21"/>
              </w:rPr>
              <w:t>-1.0195</w:t>
            </w:r>
          </w:p>
        </w:tc>
        <w:tc>
          <w:tcPr>
            <w:tcW w:w="758" w:type="pct"/>
            <w:tcBorders>
              <w:top w:val="single" w:sz="4" w:space="0" w:color="auto"/>
              <w:left w:val="single" w:sz="4" w:space="0" w:color="auto"/>
              <w:bottom w:val="single" w:sz="12" w:space="0" w:color="auto"/>
              <w:right w:val="single" w:sz="4" w:space="0" w:color="auto"/>
            </w:tcBorders>
            <w:shd w:val="clear" w:color="000000" w:fill="FFFFFF"/>
            <w:vAlign w:val="center"/>
          </w:tcPr>
          <w:p w:rsidR="009030B3" w:rsidRDefault="00CA0104">
            <w:pPr>
              <w:widowControl/>
              <w:wordWrap w:val="0"/>
              <w:jc w:val="right"/>
              <w:rPr>
                <w:color w:val="000000"/>
                <w:kern w:val="0"/>
                <w:szCs w:val="21"/>
              </w:rPr>
            </w:pPr>
            <w:r>
              <w:rPr>
                <w:color w:val="000000"/>
                <w:kern w:val="0"/>
                <w:szCs w:val="21"/>
              </w:rPr>
              <w:t xml:space="preserve"> -0.8976 </w:t>
            </w:r>
          </w:p>
        </w:tc>
        <w:tc>
          <w:tcPr>
            <w:tcW w:w="552" w:type="pct"/>
            <w:tcBorders>
              <w:top w:val="single" w:sz="4" w:space="0" w:color="auto"/>
              <w:left w:val="single" w:sz="4" w:space="0" w:color="auto"/>
              <w:bottom w:val="single" w:sz="12" w:space="0" w:color="auto"/>
              <w:right w:val="single" w:sz="12" w:space="0" w:color="auto"/>
            </w:tcBorders>
            <w:shd w:val="clear" w:color="000000" w:fill="FFFFFF"/>
            <w:vAlign w:val="center"/>
          </w:tcPr>
          <w:p w:rsidR="009030B3" w:rsidRDefault="00CA0104">
            <w:pPr>
              <w:widowControl/>
              <w:wordWrap w:val="0"/>
              <w:jc w:val="right"/>
              <w:rPr>
                <w:color w:val="000000"/>
                <w:kern w:val="0"/>
                <w:szCs w:val="21"/>
              </w:rPr>
            </w:pPr>
            <w:r>
              <w:rPr>
                <w:color w:val="000000"/>
                <w:kern w:val="0"/>
                <w:szCs w:val="21"/>
              </w:rPr>
              <w:t>11.96%</w:t>
            </w:r>
          </w:p>
        </w:tc>
      </w:tr>
    </w:tbl>
    <w:p w:rsidR="009030B3" w:rsidRDefault="00CA0104" w:rsidP="006525F6">
      <w:pPr>
        <w:spacing w:line="360" w:lineRule="auto"/>
        <w:ind w:firstLineChars="177" w:firstLine="425"/>
        <w:rPr>
          <w:sz w:val="24"/>
        </w:rPr>
      </w:pPr>
      <w:r>
        <w:rPr>
          <w:rFonts w:hint="eastAsia"/>
          <w:sz w:val="24"/>
        </w:rPr>
        <w:t>根据《备考审阅报告》（信会师报字</w:t>
      </w:r>
      <w:r>
        <w:rPr>
          <w:rFonts w:hint="eastAsia"/>
          <w:sz w:val="24"/>
        </w:rPr>
        <w:t>[2021]</w:t>
      </w:r>
      <w:r>
        <w:rPr>
          <w:rFonts w:hint="eastAsia"/>
          <w:sz w:val="24"/>
        </w:rPr>
        <w:t>第</w:t>
      </w:r>
      <w:r>
        <w:rPr>
          <w:rFonts w:hint="eastAsia"/>
          <w:sz w:val="24"/>
        </w:rPr>
        <w:t>ZG11643</w:t>
      </w:r>
      <w:r>
        <w:rPr>
          <w:rFonts w:hint="eastAsia"/>
          <w:sz w:val="24"/>
        </w:rPr>
        <w:t>号），本次交易完成后上市公司</w:t>
      </w:r>
      <w:r>
        <w:rPr>
          <w:rFonts w:hint="eastAsia"/>
          <w:sz w:val="24"/>
        </w:rPr>
        <w:t>2019</w:t>
      </w:r>
      <w:r>
        <w:rPr>
          <w:rFonts w:hint="eastAsia"/>
          <w:sz w:val="24"/>
        </w:rPr>
        <w:t>年备考基本每股收益为</w:t>
      </w:r>
      <w:r>
        <w:rPr>
          <w:sz w:val="24"/>
        </w:rPr>
        <w:t>-0.8976</w:t>
      </w:r>
      <w:r>
        <w:rPr>
          <w:rFonts w:hint="eastAsia"/>
          <w:sz w:val="24"/>
        </w:rPr>
        <w:t>元</w:t>
      </w:r>
      <w:r>
        <w:rPr>
          <w:rFonts w:hint="eastAsia"/>
          <w:sz w:val="24"/>
        </w:rPr>
        <w:t>/</w:t>
      </w:r>
      <w:r>
        <w:rPr>
          <w:rFonts w:hint="eastAsia"/>
          <w:sz w:val="24"/>
        </w:rPr>
        <w:t>股，较</w:t>
      </w:r>
      <w:r>
        <w:rPr>
          <w:rFonts w:hint="eastAsia"/>
          <w:sz w:val="24"/>
        </w:rPr>
        <w:t>2019</w:t>
      </w:r>
      <w:r>
        <w:rPr>
          <w:rFonts w:hint="eastAsia"/>
          <w:sz w:val="24"/>
        </w:rPr>
        <w:t>年度上市公司实际每股基本收益增加</w:t>
      </w:r>
      <w:r>
        <w:rPr>
          <w:sz w:val="24"/>
        </w:rPr>
        <w:t>0.1219</w:t>
      </w:r>
      <w:r>
        <w:rPr>
          <w:rFonts w:hint="eastAsia"/>
          <w:sz w:val="24"/>
        </w:rPr>
        <w:t>元，主要系根据备考审阅报告的编制假设，假定大唐半导体债转股于</w:t>
      </w:r>
      <w:r>
        <w:rPr>
          <w:rFonts w:hint="eastAsia"/>
          <w:sz w:val="24"/>
        </w:rPr>
        <w:t>2019</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日完成，大唐半导体的少数股东损益承担了</w:t>
      </w:r>
      <w:r>
        <w:rPr>
          <w:rFonts w:hint="eastAsia"/>
          <w:sz w:val="24"/>
        </w:rPr>
        <w:t>2019</w:t>
      </w:r>
      <w:r>
        <w:rPr>
          <w:rFonts w:hint="eastAsia"/>
          <w:sz w:val="24"/>
        </w:rPr>
        <w:t>年</w:t>
      </w:r>
      <w:r>
        <w:rPr>
          <w:rFonts w:hint="eastAsia"/>
          <w:sz w:val="24"/>
        </w:rPr>
        <w:t>1-12</w:t>
      </w:r>
      <w:r>
        <w:rPr>
          <w:rFonts w:hint="eastAsia"/>
          <w:sz w:val="24"/>
        </w:rPr>
        <w:t>月的亏损导致。</w:t>
      </w:r>
      <w:r>
        <w:rPr>
          <w:rFonts w:hint="eastAsia"/>
          <w:sz w:val="24"/>
        </w:rPr>
        <w:t>2020</w:t>
      </w:r>
      <w:r>
        <w:rPr>
          <w:rFonts w:hint="eastAsia"/>
          <w:sz w:val="24"/>
        </w:rPr>
        <w:t>年度备考基本每股收益为</w:t>
      </w:r>
      <w:r>
        <w:rPr>
          <w:sz w:val="24"/>
        </w:rPr>
        <w:t>-1.5440</w:t>
      </w:r>
      <w:r>
        <w:rPr>
          <w:rFonts w:hint="eastAsia"/>
          <w:sz w:val="24"/>
        </w:rPr>
        <w:t>元</w:t>
      </w:r>
      <w:r>
        <w:rPr>
          <w:rFonts w:hint="eastAsia"/>
          <w:sz w:val="24"/>
        </w:rPr>
        <w:t>/</w:t>
      </w:r>
      <w:r>
        <w:rPr>
          <w:rFonts w:hint="eastAsia"/>
          <w:sz w:val="24"/>
        </w:rPr>
        <w:t>股，较</w:t>
      </w:r>
      <w:r>
        <w:rPr>
          <w:rFonts w:hint="eastAsia"/>
          <w:sz w:val="24"/>
        </w:rPr>
        <w:t>2020</w:t>
      </w:r>
      <w:r>
        <w:rPr>
          <w:rFonts w:hint="eastAsia"/>
          <w:sz w:val="24"/>
        </w:rPr>
        <w:t>年度上市公司实际基本每股收益增加</w:t>
      </w:r>
      <w:r>
        <w:rPr>
          <w:sz w:val="24"/>
        </w:rPr>
        <w:t>0.0021</w:t>
      </w:r>
      <w:r>
        <w:rPr>
          <w:rFonts w:hint="eastAsia"/>
          <w:sz w:val="24"/>
        </w:rPr>
        <w:t>元，主要系大唐微电子</w:t>
      </w:r>
      <w:r>
        <w:rPr>
          <w:rFonts w:hint="eastAsia"/>
          <w:sz w:val="24"/>
        </w:rPr>
        <w:t>2020</w:t>
      </w:r>
      <w:r>
        <w:rPr>
          <w:rFonts w:hint="eastAsia"/>
          <w:sz w:val="24"/>
        </w:rPr>
        <w:t>年度净利润为负，本次增资增加少数股东权益，少数股东按持股比例承担亏损所致。</w:t>
      </w:r>
    </w:p>
    <w:p w:rsidR="009030B3" w:rsidRDefault="00CA0104" w:rsidP="006525F6">
      <w:pPr>
        <w:spacing w:line="360" w:lineRule="auto"/>
        <w:ind w:firstLineChars="177" w:firstLine="425"/>
        <w:rPr>
          <w:sz w:val="24"/>
        </w:rPr>
      </w:pPr>
      <w:r>
        <w:rPr>
          <w:rFonts w:hint="eastAsia"/>
          <w:sz w:val="24"/>
        </w:rPr>
        <w:t>本次交易完成后，上市公司基本每股收益提升，不存在因本次交易而导致当期每股收益被摊薄的情况。</w:t>
      </w:r>
    </w:p>
    <w:p w:rsidR="009030B3" w:rsidRDefault="00CA0104">
      <w:pPr>
        <w:tabs>
          <w:tab w:val="left" w:pos="142"/>
        </w:tabs>
        <w:adjustRightInd w:val="0"/>
        <w:snapToGrid w:val="0"/>
        <w:spacing w:beforeLines="50" w:before="156" w:afterLines="50" w:after="156" w:line="360" w:lineRule="auto"/>
        <w:ind w:firstLineChars="200" w:firstLine="482"/>
        <w:rPr>
          <w:b/>
          <w:sz w:val="24"/>
        </w:rPr>
      </w:pPr>
      <w:r>
        <w:rPr>
          <w:rFonts w:hint="eastAsia"/>
          <w:b/>
          <w:sz w:val="24"/>
        </w:rPr>
        <w:t>三</w:t>
      </w:r>
      <w:r>
        <w:rPr>
          <w:b/>
          <w:sz w:val="24"/>
        </w:rPr>
        <w:t>、本次交易摊薄即期回报的风险提示</w:t>
      </w:r>
      <w:r>
        <w:rPr>
          <w:b/>
          <w:sz w:val="24"/>
        </w:rPr>
        <w:t xml:space="preserve"> </w:t>
      </w:r>
    </w:p>
    <w:p w:rsidR="009030B3" w:rsidRDefault="00CA0104">
      <w:pPr>
        <w:tabs>
          <w:tab w:val="left" w:pos="142"/>
        </w:tabs>
        <w:adjustRightInd w:val="0"/>
        <w:snapToGrid w:val="0"/>
        <w:spacing w:line="360" w:lineRule="auto"/>
        <w:ind w:firstLineChars="200" w:firstLine="480"/>
        <w:rPr>
          <w:sz w:val="24"/>
        </w:rPr>
      </w:pPr>
      <w:r>
        <w:rPr>
          <w:sz w:val="24"/>
        </w:rPr>
        <w:t>本次交易完成后，一方面，因丧失标的公司的少数股权，可能导致上市公司</w:t>
      </w:r>
      <w:r>
        <w:rPr>
          <w:sz w:val="24"/>
        </w:rPr>
        <w:lastRenderedPageBreak/>
        <w:t>未来投资收益下降，从而在短期内对公司的净利润水平产生一定不利影响。另一方面，受宏观经济、行业政策及竞争环境等多方面未知因素的影响，公司在经营过程中存在经营风险、市场风险，可能对未来公司的经营成果产生重大影响。基于以上两点原因，不排除公司未来年度实际取得的经营成果低于预期的情况，而由此导致未来短期内公司的即期回报将会被摊薄，特此提醒投资者关注本次重大资产重组可能摊薄即期回报的风险。</w:t>
      </w:r>
      <w:r>
        <w:rPr>
          <w:sz w:val="24"/>
        </w:rPr>
        <w:t xml:space="preserve"> </w:t>
      </w:r>
    </w:p>
    <w:p w:rsidR="009030B3" w:rsidRDefault="00CA0104">
      <w:pPr>
        <w:tabs>
          <w:tab w:val="left" w:pos="142"/>
        </w:tabs>
        <w:adjustRightInd w:val="0"/>
        <w:snapToGrid w:val="0"/>
        <w:spacing w:beforeLines="50" w:before="156" w:afterLines="50" w:after="156" w:line="360" w:lineRule="auto"/>
        <w:ind w:firstLineChars="200" w:firstLine="482"/>
        <w:rPr>
          <w:b/>
          <w:sz w:val="24"/>
        </w:rPr>
      </w:pPr>
      <w:r>
        <w:rPr>
          <w:rFonts w:hint="eastAsia"/>
          <w:b/>
          <w:sz w:val="24"/>
        </w:rPr>
        <w:t>四</w:t>
      </w:r>
      <w:r>
        <w:rPr>
          <w:b/>
          <w:sz w:val="24"/>
        </w:rPr>
        <w:t>、关于上市公司防范本次交易摊薄即期回报采取的措施</w:t>
      </w:r>
      <w:r>
        <w:rPr>
          <w:b/>
          <w:sz w:val="24"/>
        </w:rPr>
        <w:t xml:space="preserve"> </w:t>
      </w:r>
    </w:p>
    <w:p w:rsidR="009030B3" w:rsidRDefault="00CA0104">
      <w:pPr>
        <w:tabs>
          <w:tab w:val="left" w:pos="142"/>
        </w:tabs>
        <w:adjustRightInd w:val="0"/>
        <w:snapToGrid w:val="0"/>
        <w:spacing w:line="360" w:lineRule="auto"/>
        <w:ind w:firstLineChars="200" w:firstLine="480"/>
        <w:rPr>
          <w:sz w:val="24"/>
        </w:rPr>
      </w:pPr>
      <w:r>
        <w:rPr>
          <w:rFonts w:hint="eastAsia"/>
          <w:sz w:val="24"/>
        </w:rPr>
        <w:t>本次交</w:t>
      </w:r>
      <w:r>
        <w:rPr>
          <w:rFonts w:hint="eastAsia"/>
          <w:sz w:val="24"/>
        </w:rPr>
        <w:t>易将在一定程度上提升公司盈利能力，预计本次交易后不存在即期回报被摊薄的情形，但并不能完全排除其未来盈利能力不及预期的可能。</w:t>
      </w:r>
      <w:r>
        <w:rPr>
          <w:sz w:val="24"/>
        </w:rPr>
        <w:t>为防范本次交易可能导致的对公司即期回报被摊薄的风险，公司将采取以下措施：</w:t>
      </w:r>
    </w:p>
    <w:p w:rsidR="009030B3" w:rsidRDefault="00CA0104">
      <w:pPr>
        <w:keepNext/>
        <w:keepLines/>
        <w:snapToGrid w:val="0"/>
        <w:spacing w:line="360" w:lineRule="auto"/>
        <w:ind w:firstLineChars="200" w:firstLine="482"/>
        <w:jc w:val="left"/>
        <w:rPr>
          <w:b/>
          <w:bCs/>
          <w:kern w:val="0"/>
          <w:sz w:val="24"/>
          <w:szCs w:val="22"/>
        </w:rPr>
      </w:pPr>
      <w:r>
        <w:rPr>
          <w:b/>
          <w:bCs/>
          <w:kern w:val="0"/>
          <w:sz w:val="24"/>
          <w:szCs w:val="22"/>
        </w:rPr>
        <w:t>（</w:t>
      </w:r>
      <w:r>
        <w:rPr>
          <w:b/>
          <w:bCs/>
          <w:kern w:val="0"/>
          <w:sz w:val="24"/>
          <w:szCs w:val="22"/>
        </w:rPr>
        <w:t>1</w:t>
      </w:r>
      <w:r>
        <w:rPr>
          <w:b/>
          <w:bCs/>
          <w:kern w:val="0"/>
          <w:sz w:val="24"/>
          <w:szCs w:val="22"/>
        </w:rPr>
        <w:t>）聚焦主业发展</w:t>
      </w:r>
    </w:p>
    <w:p w:rsidR="009030B3" w:rsidRDefault="00CA0104">
      <w:pPr>
        <w:autoSpaceDE w:val="0"/>
        <w:autoSpaceDN w:val="0"/>
        <w:adjustRightInd w:val="0"/>
        <w:snapToGrid w:val="0"/>
        <w:spacing w:line="360" w:lineRule="auto"/>
        <w:ind w:firstLineChars="200" w:firstLine="480"/>
        <w:jc w:val="left"/>
        <w:rPr>
          <w:color w:val="000000"/>
          <w:kern w:val="0"/>
          <w:sz w:val="24"/>
        </w:rPr>
      </w:pPr>
      <w:r>
        <w:rPr>
          <w:color w:val="000000"/>
          <w:kern w:val="0"/>
          <w:sz w:val="24"/>
        </w:rPr>
        <w:t>公司将坚持创新引领，攻关芯片</w:t>
      </w:r>
      <w:r>
        <w:rPr>
          <w:rFonts w:hint="eastAsia"/>
          <w:color w:val="000000"/>
          <w:kern w:val="0"/>
          <w:sz w:val="24"/>
        </w:rPr>
        <w:t>、</w:t>
      </w:r>
      <w:r>
        <w:rPr>
          <w:color w:val="000000"/>
          <w:kern w:val="0"/>
          <w:sz w:val="24"/>
        </w:rPr>
        <w:t>网络安全等关键技术主动对接网络强国战略，深耕信息</w:t>
      </w:r>
      <w:r>
        <w:rPr>
          <w:rFonts w:hint="eastAsia"/>
          <w:color w:val="000000"/>
          <w:kern w:val="0"/>
          <w:sz w:val="24"/>
        </w:rPr>
        <w:t>通信</w:t>
      </w:r>
      <w:r>
        <w:rPr>
          <w:color w:val="000000"/>
          <w:kern w:val="0"/>
          <w:sz w:val="24"/>
        </w:rPr>
        <w:t>安全和自主可控，面向重点行业，面向市场需求，布局技术、标准、产品和服务，集中资源强化公司核心竞争力，优化上市公司的资产结构，维护中小股东利益。</w:t>
      </w:r>
    </w:p>
    <w:p w:rsidR="009030B3" w:rsidRDefault="00CA0104">
      <w:pPr>
        <w:autoSpaceDE w:val="0"/>
        <w:autoSpaceDN w:val="0"/>
        <w:adjustRightInd w:val="0"/>
        <w:snapToGrid w:val="0"/>
        <w:spacing w:line="360" w:lineRule="auto"/>
        <w:ind w:firstLineChars="200" w:firstLine="480"/>
        <w:jc w:val="left"/>
        <w:rPr>
          <w:color w:val="000000"/>
          <w:kern w:val="0"/>
          <w:sz w:val="24"/>
        </w:rPr>
      </w:pPr>
      <w:r>
        <w:rPr>
          <w:color w:val="000000"/>
          <w:kern w:val="0"/>
          <w:sz w:val="24"/>
        </w:rPr>
        <w:t>公司将围绕主营业务，把促进高质量发展作为根本要求，积极盘活存量资源、优化增量资源，形成良性循环，进一步提升经营效益，实现高质量可持续发展。</w:t>
      </w:r>
    </w:p>
    <w:p w:rsidR="009030B3" w:rsidRDefault="00CA0104">
      <w:pPr>
        <w:keepNext/>
        <w:keepLines/>
        <w:snapToGrid w:val="0"/>
        <w:spacing w:line="360" w:lineRule="auto"/>
        <w:ind w:firstLineChars="200" w:firstLine="482"/>
        <w:jc w:val="left"/>
        <w:rPr>
          <w:b/>
          <w:bCs/>
          <w:kern w:val="0"/>
          <w:sz w:val="24"/>
          <w:szCs w:val="22"/>
        </w:rPr>
      </w:pPr>
      <w:r>
        <w:rPr>
          <w:b/>
          <w:bCs/>
          <w:kern w:val="0"/>
          <w:sz w:val="24"/>
          <w:szCs w:val="22"/>
        </w:rPr>
        <w:t>（</w:t>
      </w:r>
      <w:r>
        <w:rPr>
          <w:b/>
          <w:bCs/>
          <w:kern w:val="0"/>
          <w:sz w:val="24"/>
          <w:szCs w:val="22"/>
        </w:rPr>
        <w:t>2</w:t>
      </w:r>
      <w:r>
        <w:rPr>
          <w:b/>
          <w:bCs/>
          <w:kern w:val="0"/>
          <w:sz w:val="24"/>
          <w:szCs w:val="22"/>
        </w:rPr>
        <w:t>）不断完善公司治理，为公司发展提供制度保障</w:t>
      </w:r>
    </w:p>
    <w:p w:rsidR="009030B3" w:rsidRDefault="00CA0104">
      <w:pPr>
        <w:tabs>
          <w:tab w:val="left" w:pos="482"/>
          <w:tab w:val="left" w:pos="3285"/>
        </w:tabs>
        <w:adjustRightInd w:val="0"/>
        <w:snapToGrid w:val="0"/>
        <w:spacing w:line="360" w:lineRule="auto"/>
        <w:ind w:firstLineChars="200" w:firstLine="480"/>
        <w:jc w:val="left"/>
        <w:rPr>
          <w:kern w:val="0"/>
          <w:sz w:val="24"/>
          <w:szCs w:val="22"/>
        </w:rPr>
      </w:pPr>
      <w:r>
        <w:rPr>
          <w:kern w:val="0"/>
          <w:sz w:val="24"/>
          <w:szCs w:val="22"/>
        </w:rPr>
        <w:t>公司将严格遵循《公司法》及《证券法》等法律、法规和规范性文件的要求，不断完善公司治理结构，确保股东能够充分行使权利，确保董事会能够按照法律、法规和公司章程的规定行使职权，</w:t>
      </w:r>
      <w:proofErr w:type="gramStart"/>
      <w:r>
        <w:rPr>
          <w:kern w:val="0"/>
          <w:sz w:val="24"/>
          <w:szCs w:val="22"/>
        </w:rPr>
        <w:t>作出</w:t>
      </w:r>
      <w:proofErr w:type="gramEnd"/>
      <w:r>
        <w:rPr>
          <w:kern w:val="0"/>
          <w:sz w:val="24"/>
          <w:szCs w:val="22"/>
        </w:rPr>
        <w:t>科学决策，确保独立董事能够认真履行职责，维护公司整体利益特别是中小股东的合法权益，确保监事会能够独立有效地行使对董事、高级管理人员及公司财务的监督权和</w:t>
      </w:r>
      <w:r>
        <w:rPr>
          <w:kern w:val="0"/>
          <w:sz w:val="24"/>
          <w:szCs w:val="22"/>
        </w:rPr>
        <w:t>检查权，为公司发展提供制度保障。</w:t>
      </w:r>
    </w:p>
    <w:p w:rsidR="009030B3" w:rsidRDefault="00CA0104">
      <w:pPr>
        <w:keepNext/>
        <w:keepLines/>
        <w:snapToGrid w:val="0"/>
        <w:spacing w:line="360" w:lineRule="auto"/>
        <w:ind w:firstLineChars="200" w:firstLine="482"/>
        <w:jc w:val="left"/>
        <w:rPr>
          <w:b/>
          <w:bCs/>
          <w:kern w:val="0"/>
          <w:sz w:val="24"/>
          <w:szCs w:val="22"/>
        </w:rPr>
      </w:pPr>
      <w:r>
        <w:rPr>
          <w:b/>
          <w:bCs/>
          <w:kern w:val="0"/>
          <w:sz w:val="24"/>
          <w:szCs w:val="22"/>
        </w:rPr>
        <w:t>（</w:t>
      </w:r>
      <w:r>
        <w:rPr>
          <w:b/>
          <w:bCs/>
          <w:kern w:val="0"/>
          <w:sz w:val="24"/>
          <w:szCs w:val="22"/>
        </w:rPr>
        <w:t>3</w:t>
      </w:r>
      <w:r>
        <w:rPr>
          <w:b/>
          <w:bCs/>
          <w:kern w:val="0"/>
          <w:sz w:val="24"/>
          <w:szCs w:val="22"/>
        </w:rPr>
        <w:t>）强化投资者回报机制</w:t>
      </w:r>
    </w:p>
    <w:p w:rsidR="009030B3" w:rsidRDefault="00CA0104">
      <w:pPr>
        <w:autoSpaceDE w:val="0"/>
        <w:autoSpaceDN w:val="0"/>
        <w:adjustRightInd w:val="0"/>
        <w:snapToGrid w:val="0"/>
        <w:spacing w:line="360" w:lineRule="auto"/>
        <w:ind w:firstLineChars="200" w:firstLine="480"/>
        <w:jc w:val="left"/>
        <w:rPr>
          <w:color w:val="000000"/>
          <w:kern w:val="0"/>
          <w:sz w:val="24"/>
        </w:rPr>
      </w:pPr>
      <w:r>
        <w:rPr>
          <w:color w:val="000000"/>
          <w:kern w:val="0"/>
          <w:sz w:val="24"/>
        </w:rPr>
        <w:t>为完善上市公司利润分配政策，推动上市公司建立更为科学、持续、稳定的股东回报机制，增加利润分配政策决策透明度和可操作性，切实保护公众投资者合法权益，公司已根据中国证监会《关于进一步落实上市公司现金分红有关事项的通知》、《上市公司监管指引第</w:t>
      </w:r>
      <w:r>
        <w:rPr>
          <w:color w:val="000000"/>
          <w:kern w:val="0"/>
          <w:sz w:val="24"/>
        </w:rPr>
        <w:t>3</w:t>
      </w:r>
      <w:r>
        <w:rPr>
          <w:color w:val="000000"/>
          <w:kern w:val="0"/>
          <w:sz w:val="24"/>
        </w:rPr>
        <w:t>号</w:t>
      </w:r>
      <w:r>
        <w:rPr>
          <w:color w:val="000000"/>
          <w:kern w:val="0"/>
          <w:sz w:val="24"/>
        </w:rPr>
        <w:t>—</w:t>
      </w:r>
      <w:r>
        <w:rPr>
          <w:color w:val="000000"/>
          <w:kern w:val="0"/>
          <w:sz w:val="24"/>
        </w:rPr>
        <w:t>上市公司现金分红》等法律法规的有关</w:t>
      </w:r>
      <w:r>
        <w:rPr>
          <w:color w:val="000000"/>
          <w:kern w:val="0"/>
          <w:sz w:val="24"/>
        </w:rPr>
        <w:lastRenderedPageBreak/>
        <w:t>规定，结合公司实际情况，在《公司章程》中对利润分配政策进行了明确的规定。公司的利润分配政策重视对投资者尤其是中小投资者的合理投资回报，将充分听取投资者和独立董事的意见，切实维护</w:t>
      </w:r>
      <w:r>
        <w:rPr>
          <w:color w:val="000000"/>
          <w:kern w:val="0"/>
          <w:sz w:val="24"/>
        </w:rPr>
        <w:t>股东依法享有投资收益的权利，体现公司积极回报股东的长期发展理念。</w:t>
      </w:r>
    </w:p>
    <w:p w:rsidR="009030B3" w:rsidRDefault="00CA0104">
      <w:pPr>
        <w:tabs>
          <w:tab w:val="left" w:pos="142"/>
        </w:tabs>
        <w:adjustRightInd w:val="0"/>
        <w:snapToGrid w:val="0"/>
        <w:spacing w:beforeLines="50" w:before="156" w:afterLines="50" w:after="156" w:line="360" w:lineRule="auto"/>
        <w:ind w:firstLineChars="200" w:firstLine="482"/>
        <w:rPr>
          <w:b/>
          <w:sz w:val="24"/>
        </w:rPr>
      </w:pPr>
      <w:r>
        <w:rPr>
          <w:rFonts w:hint="eastAsia"/>
          <w:b/>
          <w:sz w:val="24"/>
        </w:rPr>
        <w:t>五</w:t>
      </w:r>
      <w:r>
        <w:rPr>
          <w:b/>
          <w:sz w:val="24"/>
        </w:rPr>
        <w:t>、上市公司董事及高级管理人员关于本次交易防范即期回报被摊</w:t>
      </w:r>
      <w:proofErr w:type="gramStart"/>
      <w:r>
        <w:rPr>
          <w:b/>
          <w:sz w:val="24"/>
        </w:rPr>
        <w:t>薄措施</w:t>
      </w:r>
      <w:proofErr w:type="gramEnd"/>
      <w:r>
        <w:rPr>
          <w:b/>
          <w:sz w:val="24"/>
        </w:rPr>
        <w:t>的承诺</w:t>
      </w:r>
    </w:p>
    <w:p w:rsidR="009030B3" w:rsidRDefault="00CA0104">
      <w:pPr>
        <w:spacing w:before="50" w:afterLines="50" w:after="156" w:line="360" w:lineRule="auto"/>
        <w:ind w:firstLineChars="200" w:firstLine="480"/>
        <w:rPr>
          <w:sz w:val="24"/>
        </w:rPr>
      </w:pPr>
      <w:r>
        <w:rPr>
          <w:sz w:val="24"/>
        </w:rPr>
        <w:t>为确保上市公司本次交易防范即期回报被摊薄的措施得到切实执行，维护中小投资者利益，公司全体董事、高级管理人员承诺如下：</w:t>
      </w:r>
    </w:p>
    <w:p w:rsidR="009030B3" w:rsidRDefault="00CA0104">
      <w:pPr>
        <w:spacing w:before="50" w:afterLines="50" w:after="156" w:line="360" w:lineRule="auto"/>
        <w:ind w:firstLineChars="200" w:firstLine="480"/>
        <w:rPr>
          <w:sz w:val="24"/>
        </w:rPr>
      </w:pPr>
      <w:r>
        <w:rPr>
          <w:sz w:val="24"/>
        </w:rPr>
        <w:t>1</w:t>
      </w:r>
      <w:r>
        <w:rPr>
          <w:sz w:val="24"/>
        </w:rPr>
        <w:t>、承诺</w:t>
      </w:r>
      <w:proofErr w:type="gramStart"/>
      <w:r>
        <w:rPr>
          <w:sz w:val="24"/>
        </w:rPr>
        <w:t>不</w:t>
      </w:r>
      <w:proofErr w:type="gramEnd"/>
      <w:r>
        <w:rPr>
          <w:sz w:val="24"/>
        </w:rPr>
        <w:t>无偿或以不公平条件向其他单位或者个人输送利益，也不采用其他方式损害公司利益。</w:t>
      </w:r>
    </w:p>
    <w:p w:rsidR="009030B3" w:rsidRDefault="00CA0104">
      <w:pPr>
        <w:spacing w:before="50" w:afterLines="50" w:after="156" w:line="360" w:lineRule="auto"/>
        <w:ind w:firstLineChars="200" w:firstLine="480"/>
        <w:rPr>
          <w:sz w:val="24"/>
        </w:rPr>
      </w:pPr>
      <w:r>
        <w:rPr>
          <w:sz w:val="24"/>
        </w:rPr>
        <w:t>2</w:t>
      </w:r>
      <w:r>
        <w:rPr>
          <w:sz w:val="24"/>
        </w:rPr>
        <w:t>、承诺对本人的职务消费行为进行约束。</w:t>
      </w:r>
    </w:p>
    <w:p w:rsidR="009030B3" w:rsidRDefault="00CA0104">
      <w:pPr>
        <w:spacing w:before="50" w:afterLines="50" w:after="156" w:line="360" w:lineRule="auto"/>
        <w:ind w:firstLineChars="200" w:firstLine="480"/>
        <w:rPr>
          <w:sz w:val="24"/>
        </w:rPr>
      </w:pPr>
      <w:r>
        <w:rPr>
          <w:sz w:val="24"/>
        </w:rPr>
        <w:t>3</w:t>
      </w:r>
      <w:r>
        <w:rPr>
          <w:sz w:val="24"/>
        </w:rPr>
        <w:t>、承诺不动用公司资产从事与其履行职责无关的投资、消费活动。</w:t>
      </w:r>
    </w:p>
    <w:p w:rsidR="009030B3" w:rsidRDefault="00CA0104">
      <w:pPr>
        <w:spacing w:before="50" w:afterLines="50" w:after="156" w:line="360" w:lineRule="auto"/>
        <w:ind w:firstLineChars="200" w:firstLine="480"/>
        <w:rPr>
          <w:sz w:val="24"/>
        </w:rPr>
      </w:pPr>
      <w:r>
        <w:rPr>
          <w:sz w:val="24"/>
        </w:rPr>
        <w:t>4</w:t>
      </w:r>
      <w:r>
        <w:rPr>
          <w:sz w:val="24"/>
        </w:rPr>
        <w:t>、承诺在自身职责和权限范围内，全力促使公司董事会或者薪酬与考核委员会制定的薪酬制度与公司防范即期回报被摊</w:t>
      </w:r>
      <w:proofErr w:type="gramStart"/>
      <w:r>
        <w:rPr>
          <w:sz w:val="24"/>
        </w:rPr>
        <w:t>薄措施</w:t>
      </w:r>
      <w:proofErr w:type="gramEnd"/>
      <w:r>
        <w:rPr>
          <w:sz w:val="24"/>
        </w:rPr>
        <w:t>的执行情况相挂钩，并对公司董事会和股东大会审议的相关议案投票赞成（如有表决权）。</w:t>
      </w:r>
    </w:p>
    <w:p w:rsidR="009030B3" w:rsidRDefault="00CA0104">
      <w:pPr>
        <w:spacing w:before="50" w:afterLines="50" w:after="156" w:line="360" w:lineRule="auto"/>
        <w:ind w:firstLineChars="200" w:firstLine="480"/>
        <w:rPr>
          <w:sz w:val="24"/>
        </w:rPr>
      </w:pPr>
      <w:r>
        <w:rPr>
          <w:sz w:val="24"/>
        </w:rPr>
        <w:t>5</w:t>
      </w:r>
      <w:r>
        <w:rPr>
          <w:sz w:val="24"/>
        </w:rPr>
        <w:t>、如果公司拟实施股权激励，承诺在自身职责和权限范围内，全力促使公司</w:t>
      </w:r>
      <w:proofErr w:type="gramStart"/>
      <w:r>
        <w:rPr>
          <w:sz w:val="24"/>
        </w:rPr>
        <w:t>拟公布</w:t>
      </w:r>
      <w:proofErr w:type="gramEnd"/>
      <w:r>
        <w:rPr>
          <w:sz w:val="24"/>
        </w:rPr>
        <w:t>的股权激励行权条件与公司防范即期回报被摊</w:t>
      </w:r>
      <w:proofErr w:type="gramStart"/>
      <w:r>
        <w:rPr>
          <w:sz w:val="24"/>
        </w:rPr>
        <w:t>薄措施</w:t>
      </w:r>
      <w:proofErr w:type="gramEnd"/>
      <w:r>
        <w:rPr>
          <w:sz w:val="24"/>
        </w:rPr>
        <w:t>的执行情况相挂钩，并对公司董事会和股东大会审议的相关议案投票赞成（如有表决权）。</w:t>
      </w:r>
    </w:p>
    <w:p w:rsidR="009030B3" w:rsidRDefault="00CA0104">
      <w:pPr>
        <w:spacing w:before="50" w:afterLines="50" w:after="156" w:line="360" w:lineRule="auto"/>
        <w:ind w:firstLineChars="200" w:firstLine="480"/>
        <w:rPr>
          <w:sz w:val="24"/>
        </w:rPr>
      </w:pPr>
      <w:r>
        <w:rPr>
          <w:sz w:val="24"/>
        </w:rPr>
        <w:t>6</w:t>
      </w:r>
      <w:r>
        <w:rPr>
          <w:sz w:val="24"/>
        </w:rPr>
        <w:t>、</w:t>
      </w:r>
      <w:proofErr w:type="gramStart"/>
      <w:r>
        <w:rPr>
          <w:sz w:val="24"/>
        </w:rPr>
        <w:t>本承诺</w:t>
      </w:r>
      <w:proofErr w:type="gramEnd"/>
      <w:r>
        <w:rPr>
          <w:sz w:val="24"/>
        </w:rPr>
        <w:t>出具日后至公司本次交易实施完毕前，若中国证监会</w:t>
      </w:r>
      <w:proofErr w:type="gramStart"/>
      <w:r>
        <w:rPr>
          <w:sz w:val="24"/>
        </w:rPr>
        <w:t>作出</w:t>
      </w:r>
      <w:proofErr w:type="gramEnd"/>
      <w:r>
        <w:rPr>
          <w:sz w:val="24"/>
        </w:rPr>
        <w:t>关于填补回报措施及其承诺的其他新的监管规定的，且上述承诺</w:t>
      </w:r>
      <w:r>
        <w:rPr>
          <w:sz w:val="24"/>
        </w:rPr>
        <w:t>不能满足中国证监会该等规定时，本人承诺届时将按照中国证监会的最新规定出具补充承诺。</w:t>
      </w:r>
    </w:p>
    <w:p w:rsidR="009030B3" w:rsidRDefault="00CA0104">
      <w:pPr>
        <w:spacing w:before="50" w:afterLines="50" w:after="156" w:line="360" w:lineRule="auto"/>
        <w:ind w:firstLineChars="200" w:firstLine="480"/>
        <w:rPr>
          <w:sz w:val="24"/>
        </w:rPr>
      </w:pPr>
      <w:r>
        <w:rPr>
          <w:sz w:val="24"/>
        </w:rPr>
        <w:t>7</w:t>
      </w:r>
      <w:r>
        <w:rPr>
          <w:sz w:val="24"/>
        </w:rPr>
        <w:t>、承诺切实履行公司制定的有关填补回报措施以及对此</w:t>
      </w:r>
      <w:proofErr w:type="gramStart"/>
      <w:r>
        <w:rPr>
          <w:sz w:val="24"/>
        </w:rPr>
        <w:t>作出</w:t>
      </w:r>
      <w:proofErr w:type="gramEnd"/>
      <w:r>
        <w:rPr>
          <w:sz w:val="24"/>
        </w:rPr>
        <w:t>的任何有关填补回报措施的承诺，若违反该等承诺并给公司或者投资者造成损失的，愿意依法承担对公司或者投资者的补偿责任。</w:t>
      </w:r>
    </w:p>
    <w:p w:rsidR="009030B3" w:rsidRDefault="00CA0104">
      <w:pPr>
        <w:snapToGrid w:val="0"/>
        <w:spacing w:beforeLines="50" w:before="156" w:afterLines="50" w:after="156" w:line="360" w:lineRule="auto"/>
        <w:ind w:firstLineChars="200" w:firstLine="480"/>
        <w:rPr>
          <w:sz w:val="24"/>
        </w:rPr>
      </w:pPr>
      <w:r>
        <w:rPr>
          <w:sz w:val="24"/>
        </w:rPr>
        <w:t>作为填补回报措施相关责任主体之一，若违反上述承诺或拒不履行上述承诺，同意按照中国证监会和上海证券交易所等证券监管机构按照其制定或发布的有</w:t>
      </w:r>
      <w:r>
        <w:rPr>
          <w:sz w:val="24"/>
        </w:rPr>
        <w:lastRenderedPageBreak/>
        <w:t>关规定、规则，对本人</w:t>
      </w:r>
      <w:proofErr w:type="gramStart"/>
      <w:r>
        <w:rPr>
          <w:sz w:val="24"/>
        </w:rPr>
        <w:t>作出</w:t>
      </w:r>
      <w:proofErr w:type="gramEnd"/>
      <w:r>
        <w:rPr>
          <w:sz w:val="24"/>
        </w:rPr>
        <w:t>相关处罚或采取相关管理措施。</w:t>
      </w:r>
    </w:p>
    <w:p w:rsidR="009030B3" w:rsidRDefault="00CA0104">
      <w:pPr>
        <w:tabs>
          <w:tab w:val="left" w:pos="142"/>
        </w:tabs>
        <w:adjustRightInd w:val="0"/>
        <w:snapToGrid w:val="0"/>
        <w:spacing w:beforeLines="50" w:before="156" w:afterLines="50" w:after="156" w:line="360" w:lineRule="auto"/>
        <w:ind w:firstLineChars="200" w:firstLine="482"/>
        <w:rPr>
          <w:b/>
          <w:sz w:val="24"/>
        </w:rPr>
      </w:pPr>
      <w:r>
        <w:rPr>
          <w:rFonts w:hint="eastAsia"/>
          <w:b/>
          <w:sz w:val="24"/>
        </w:rPr>
        <w:t>六</w:t>
      </w:r>
      <w:r>
        <w:rPr>
          <w:b/>
          <w:sz w:val="24"/>
        </w:rPr>
        <w:t>、上市公司控股股东关于本次交易防范即期回报被摊</w:t>
      </w:r>
      <w:proofErr w:type="gramStart"/>
      <w:r>
        <w:rPr>
          <w:b/>
          <w:sz w:val="24"/>
        </w:rPr>
        <w:t>薄措施</w:t>
      </w:r>
      <w:proofErr w:type="gramEnd"/>
      <w:r>
        <w:rPr>
          <w:b/>
          <w:sz w:val="24"/>
        </w:rPr>
        <w:t>的承诺</w:t>
      </w:r>
    </w:p>
    <w:p w:rsidR="009030B3" w:rsidRDefault="00CA0104">
      <w:pPr>
        <w:snapToGrid w:val="0"/>
        <w:spacing w:beforeLines="50" w:before="156" w:afterLines="50" w:after="156" w:line="360" w:lineRule="auto"/>
        <w:ind w:firstLineChars="200" w:firstLine="480"/>
        <w:rPr>
          <w:sz w:val="24"/>
          <w:szCs w:val="22"/>
        </w:rPr>
      </w:pPr>
      <w:r>
        <w:rPr>
          <w:sz w:val="24"/>
          <w:szCs w:val="22"/>
        </w:rPr>
        <w:t>为确保</w:t>
      </w:r>
      <w:r>
        <w:rPr>
          <w:sz w:val="24"/>
          <w:szCs w:val="22"/>
        </w:rPr>
        <w:t>本次交易摊薄即期回报事项的填补回报措施能够得到切实履行，</w:t>
      </w:r>
      <w:r>
        <w:rPr>
          <w:sz w:val="24"/>
        </w:rPr>
        <w:t>维护中小投资者利益，</w:t>
      </w:r>
      <w:proofErr w:type="gramStart"/>
      <w:r>
        <w:rPr>
          <w:sz w:val="24"/>
        </w:rPr>
        <w:t>电科院</w:t>
      </w:r>
      <w:proofErr w:type="gramEnd"/>
      <w:r>
        <w:rPr>
          <w:sz w:val="24"/>
        </w:rPr>
        <w:t>已出具如下</w:t>
      </w:r>
      <w:r>
        <w:rPr>
          <w:sz w:val="24"/>
          <w:szCs w:val="22"/>
        </w:rPr>
        <w:t>承诺：</w:t>
      </w:r>
    </w:p>
    <w:p w:rsidR="009030B3" w:rsidRDefault="00CA0104">
      <w:pPr>
        <w:snapToGrid w:val="0"/>
        <w:spacing w:beforeLines="50" w:before="156" w:afterLines="50" w:after="156" w:line="360" w:lineRule="auto"/>
        <w:ind w:firstLineChars="200" w:firstLine="480"/>
        <w:rPr>
          <w:sz w:val="24"/>
          <w:szCs w:val="22"/>
        </w:rPr>
      </w:pPr>
      <w:r>
        <w:rPr>
          <w:sz w:val="24"/>
        </w:rPr>
        <w:t>1</w:t>
      </w:r>
      <w:r>
        <w:rPr>
          <w:sz w:val="24"/>
        </w:rPr>
        <w:t>、</w:t>
      </w:r>
      <w:r>
        <w:rPr>
          <w:sz w:val="24"/>
          <w:szCs w:val="22"/>
        </w:rPr>
        <w:t>继续保证上市公司的独立性，不越权干预上市公司经营管理活动，不侵占上市公司利益。</w:t>
      </w:r>
    </w:p>
    <w:p w:rsidR="009030B3" w:rsidRDefault="00CA0104">
      <w:pPr>
        <w:snapToGrid w:val="0"/>
        <w:spacing w:beforeLines="50" w:before="156" w:afterLines="50" w:after="156" w:line="360" w:lineRule="auto"/>
        <w:ind w:firstLineChars="200" w:firstLine="480"/>
        <w:rPr>
          <w:sz w:val="24"/>
          <w:szCs w:val="22"/>
        </w:rPr>
      </w:pPr>
      <w:r>
        <w:rPr>
          <w:sz w:val="24"/>
        </w:rPr>
        <w:t>2</w:t>
      </w:r>
      <w:r>
        <w:rPr>
          <w:sz w:val="24"/>
        </w:rPr>
        <w:t>、</w:t>
      </w:r>
      <w:r>
        <w:rPr>
          <w:sz w:val="24"/>
          <w:szCs w:val="22"/>
        </w:rPr>
        <w:t>自</w:t>
      </w:r>
      <w:proofErr w:type="gramStart"/>
      <w:r>
        <w:rPr>
          <w:sz w:val="24"/>
          <w:szCs w:val="22"/>
        </w:rPr>
        <w:t>本承诺</w:t>
      </w:r>
      <w:proofErr w:type="gramEnd"/>
      <w:r>
        <w:rPr>
          <w:sz w:val="24"/>
          <w:szCs w:val="22"/>
        </w:rPr>
        <w:t>出具之日起至本次交易实施完毕前，若中国证监会</w:t>
      </w:r>
      <w:proofErr w:type="gramStart"/>
      <w:r>
        <w:rPr>
          <w:sz w:val="24"/>
          <w:szCs w:val="22"/>
        </w:rPr>
        <w:t>作出</w:t>
      </w:r>
      <w:proofErr w:type="gramEnd"/>
      <w:r>
        <w:rPr>
          <w:sz w:val="24"/>
          <w:szCs w:val="22"/>
        </w:rPr>
        <w:t>关于填补回报措施及其承诺的其他新的监管规定的，且上述承诺不能满足中国证监会该等规定时，承诺届时将按照中国证监会的最新规定出具补充承诺。</w:t>
      </w:r>
    </w:p>
    <w:p w:rsidR="009030B3" w:rsidRDefault="00CA0104">
      <w:pPr>
        <w:widowControl/>
        <w:spacing w:beforeLines="50" w:before="156" w:afterLines="50" w:after="156" w:line="360" w:lineRule="auto"/>
        <w:ind w:firstLine="482"/>
        <w:rPr>
          <w:color w:val="000000"/>
          <w:sz w:val="24"/>
        </w:rPr>
      </w:pPr>
      <w:r>
        <w:rPr>
          <w:sz w:val="24"/>
        </w:rPr>
        <w:t>3</w:t>
      </w:r>
      <w:r>
        <w:rPr>
          <w:sz w:val="24"/>
        </w:rPr>
        <w:t>、</w:t>
      </w:r>
      <w:r>
        <w:rPr>
          <w:sz w:val="24"/>
          <w:szCs w:val="22"/>
        </w:rPr>
        <w:t>承诺切实履行上市公司制定的有关防范即期回报被摊</w:t>
      </w:r>
      <w:proofErr w:type="gramStart"/>
      <w:r>
        <w:rPr>
          <w:sz w:val="24"/>
          <w:szCs w:val="22"/>
        </w:rPr>
        <w:t>薄措施</w:t>
      </w:r>
      <w:proofErr w:type="gramEnd"/>
      <w:r>
        <w:rPr>
          <w:sz w:val="24"/>
          <w:szCs w:val="22"/>
        </w:rPr>
        <w:t>以及</w:t>
      </w:r>
      <w:r>
        <w:rPr>
          <w:rFonts w:hint="eastAsia"/>
          <w:sz w:val="24"/>
        </w:rPr>
        <w:t>本公司</w:t>
      </w:r>
      <w:r>
        <w:rPr>
          <w:sz w:val="24"/>
          <w:szCs w:val="22"/>
        </w:rPr>
        <w:t>对此</w:t>
      </w:r>
      <w:proofErr w:type="gramStart"/>
      <w:r>
        <w:rPr>
          <w:sz w:val="24"/>
          <w:szCs w:val="22"/>
        </w:rPr>
        <w:t>作出</w:t>
      </w:r>
      <w:proofErr w:type="gramEnd"/>
      <w:r>
        <w:rPr>
          <w:sz w:val="24"/>
          <w:szCs w:val="22"/>
        </w:rPr>
        <w:t>的任何有关防范即期回报被摊</w:t>
      </w:r>
      <w:proofErr w:type="gramStart"/>
      <w:r>
        <w:rPr>
          <w:sz w:val="24"/>
          <w:szCs w:val="22"/>
        </w:rPr>
        <w:t>薄措施</w:t>
      </w:r>
      <w:proofErr w:type="gramEnd"/>
      <w:r>
        <w:rPr>
          <w:sz w:val="24"/>
          <w:szCs w:val="22"/>
        </w:rPr>
        <w:t>的承诺，若违反该等承诺并给</w:t>
      </w:r>
      <w:r>
        <w:rPr>
          <w:sz w:val="24"/>
          <w:szCs w:val="22"/>
        </w:rPr>
        <w:t>上市公司或者投资者造成损失的，愿意依法承担对上市公司或者投资者的补偿责任。</w:t>
      </w:r>
      <w:bookmarkEnd w:id="3"/>
      <w:r>
        <w:rPr>
          <w:sz w:val="24"/>
        </w:rPr>
        <w:cr/>
      </w:r>
      <w:r>
        <w:rPr>
          <w:b/>
          <w:bCs/>
          <w:sz w:val="24"/>
        </w:rPr>
        <w:t xml:space="preserve"> </w:t>
      </w:r>
    </w:p>
    <w:p w:rsidR="009030B3" w:rsidRDefault="00CA0104">
      <w:pPr>
        <w:widowControl/>
        <w:spacing w:beforeLines="50" w:before="156" w:afterLines="50" w:after="156" w:line="300" w:lineRule="auto"/>
        <w:ind w:firstLine="480"/>
        <w:rPr>
          <w:sz w:val="24"/>
        </w:rPr>
      </w:pPr>
      <w:r>
        <w:rPr>
          <w:sz w:val="24"/>
        </w:rPr>
        <w:t>特此公告。</w:t>
      </w:r>
    </w:p>
    <w:p w:rsidR="009030B3" w:rsidRDefault="009030B3">
      <w:pPr>
        <w:spacing w:beforeLines="50" w:before="156" w:afterLines="50" w:after="156" w:line="360" w:lineRule="auto"/>
        <w:ind w:rightChars="50" w:right="105" w:firstLine="480"/>
        <w:jc w:val="right"/>
        <w:rPr>
          <w:color w:val="000000"/>
          <w:sz w:val="24"/>
        </w:rPr>
      </w:pPr>
    </w:p>
    <w:p w:rsidR="009030B3" w:rsidRDefault="00CA0104">
      <w:pPr>
        <w:spacing w:beforeLines="50" w:before="156" w:afterLines="50" w:after="156" w:line="360" w:lineRule="auto"/>
        <w:ind w:rightChars="50" w:right="105" w:firstLine="480"/>
        <w:jc w:val="right"/>
        <w:rPr>
          <w:color w:val="000000"/>
          <w:sz w:val="24"/>
        </w:rPr>
      </w:pPr>
      <w:r>
        <w:rPr>
          <w:color w:val="000000"/>
          <w:sz w:val="24"/>
        </w:rPr>
        <w:t>大唐电信科技股份有限公司董事会</w:t>
      </w:r>
    </w:p>
    <w:p w:rsidR="009030B3" w:rsidRDefault="00CA0104">
      <w:pPr>
        <w:spacing w:beforeLines="50" w:before="156" w:afterLines="50" w:after="156" w:line="360" w:lineRule="auto"/>
        <w:ind w:rightChars="50" w:right="105" w:firstLine="480"/>
        <w:jc w:val="right"/>
      </w:pPr>
      <w:r>
        <w:rPr>
          <w:color w:val="000000"/>
          <w:sz w:val="24"/>
        </w:rPr>
        <w:t>2021</w:t>
      </w:r>
      <w:r>
        <w:rPr>
          <w:color w:val="000000"/>
          <w:sz w:val="24"/>
        </w:rPr>
        <w:t>年</w:t>
      </w:r>
      <w:r>
        <w:rPr>
          <w:sz w:val="24"/>
        </w:rPr>
        <w:t>6</w:t>
      </w:r>
      <w:r>
        <w:rPr>
          <w:color w:val="000000"/>
          <w:sz w:val="24"/>
        </w:rPr>
        <w:t>月</w:t>
      </w:r>
      <w:r>
        <w:rPr>
          <w:sz w:val="24"/>
        </w:rPr>
        <w:t>9</w:t>
      </w:r>
      <w:r>
        <w:rPr>
          <w:color w:val="000000"/>
          <w:sz w:val="24"/>
        </w:rPr>
        <w:t>日</w:t>
      </w:r>
    </w:p>
    <w:p w:rsidR="009030B3" w:rsidRDefault="009030B3"/>
    <w:sectPr w:rsidR="009030B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04" w:rsidRDefault="00CA0104">
      <w:r>
        <w:separator/>
      </w:r>
    </w:p>
  </w:endnote>
  <w:endnote w:type="continuationSeparator" w:id="0">
    <w:p w:rsidR="00CA0104" w:rsidRDefault="00CA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7756"/>
    </w:sdtPr>
    <w:sdtEndPr/>
    <w:sdtContent>
      <w:p w:rsidR="009030B3" w:rsidRDefault="00CA0104">
        <w:pPr>
          <w:pStyle w:val="a5"/>
          <w:jc w:val="center"/>
        </w:pPr>
        <w:r>
          <w:fldChar w:fldCharType="begin"/>
        </w:r>
        <w:r>
          <w:instrText xml:space="preserve"> PAGE   \* MERGEFORMAT </w:instrText>
        </w:r>
        <w:r>
          <w:fldChar w:fldCharType="separate"/>
        </w:r>
        <w:r w:rsidR="006525F6" w:rsidRPr="006525F6">
          <w:rPr>
            <w:noProof/>
            <w:lang w:val="zh-CN"/>
          </w:rPr>
          <w:t>1</w:t>
        </w:r>
        <w:r>
          <w:rPr>
            <w:lang w:val="zh-CN"/>
          </w:rPr>
          <w:fldChar w:fldCharType="end"/>
        </w:r>
      </w:p>
    </w:sdtContent>
  </w:sdt>
  <w:p w:rsidR="009030B3" w:rsidRDefault="009030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04" w:rsidRDefault="00CA0104">
      <w:r>
        <w:separator/>
      </w:r>
    </w:p>
  </w:footnote>
  <w:footnote w:type="continuationSeparator" w:id="0">
    <w:p w:rsidR="00CA0104" w:rsidRDefault="00CA0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DE"/>
    <w:rsid w:val="000000F8"/>
    <w:rsid w:val="00017278"/>
    <w:rsid w:val="0006171D"/>
    <w:rsid w:val="000751DE"/>
    <w:rsid w:val="000D3D1D"/>
    <w:rsid w:val="00122E22"/>
    <w:rsid w:val="00164367"/>
    <w:rsid w:val="001667C2"/>
    <w:rsid w:val="00233473"/>
    <w:rsid w:val="00236629"/>
    <w:rsid w:val="00247F2C"/>
    <w:rsid w:val="002922F8"/>
    <w:rsid w:val="00356860"/>
    <w:rsid w:val="004147FB"/>
    <w:rsid w:val="00484D05"/>
    <w:rsid w:val="00503220"/>
    <w:rsid w:val="005210F5"/>
    <w:rsid w:val="00551BE1"/>
    <w:rsid w:val="00586F0E"/>
    <w:rsid w:val="00595635"/>
    <w:rsid w:val="005A46F8"/>
    <w:rsid w:val="00602039"/>
    <w:rsid w:val="00611D08"/>
    <w:rsid w:val="00612BBC"/>
    <w:rsid w:val="006235E3"/>
    <w:rsid w:val="006525F6"/>
    <w:rsid w:val="006560AF"/>
    <w:rsid w:val="0067666F"/>
    <w:rsid w:val="006C75D0"/>
    <w:rsid w:val="006F28ED"/>
    <w:rsid w:val="007229E8"/>
    <w:rsid w:val="00761E0D"/>
    <w:rsid w:val="007855E5"/>
    <w:rsid w:val="007B2A2D"/>
    <w:rsid w:val="007C5AD4"/>
    <w:rsid w:val="007D56D1"/>
    <w:rsid w:val="007F044A"/>
    <w:rsid w:val="008540B3"/>
    <w:rsid w:val="008630FF"/>
    <w:rsid w:val="009030B3"/>
    <w:rsid w:val="00992F51"/>
    <w:rsid w:val="009D3DF1"/>
    <w:rsid w:val="00A66132"/>
    <w:rsid w:val="00A72596"/>
    <w:rsid w:val="00AB12DB"/>
    <w:rsid w:val="00AD675B"/>
    <w:rsid w:val="00AE3AE4"/>
    <w:rsid w:val="00B84D3A"/>
    <w:rsid w:val="00BD4CA5"/>
    <w:rsid w:val="00C15B4B"/>
    <w:rsid w:val="00C17192"/>
    <w:rsid w:val="00C36D5E"/>
    <w:rsid w:val="00C530DE"/>
    <w:rsid w:val="00CA0104"/>
    <w:rsid w:val="00D33976"/>
    <w:rsid w:val="00D4062F"/>
    <w:rsid w:val="00D57803"/>
    <w:rsid w:val="00D617CD"/>
    <w:rsid w:val="00D83347"/>
    <w:rsid w:val="00DA4636"/>
    <w:rsid w:val="00DE1E8F"/>
    <w:rsid w:val="00E42CE7"/>
    <w:rsid w:val="00E5094A"/>
    <w:rsid w:val="00E841AD"/>
    <w:rsid w:val="00ED1F91"/>
    <w:rsid w:val="00EF1745"/>
    <w:rsid w:val="00F54BDE"/>
    <w:rsid w:val="00F617C4"/>
    <w:rsid w:val="34BF2A6A"/>
    <w:rsid w:val="599D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lsdException w:name="footer" w:semiHidden="0"/>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szCs w:val="22"/>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szCs w:val="24"/>
    </w:rPr>
  </w:style>
  <w:style w:type="table" w:styleId="a8">
    <w:name w:val="Table Grid"/>
    <w:basedOn w:val="a1"/>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nhideWhenUsed/>
    <w:qFormat/>
    <w:rPr>
      <w:sz w:val="21"/>
      <w:szCs w:val="21"/>
    </w:rPr>
  </w:style>
  <w:style w:type="character" w:customStyle="1" w:styleId="Char1">
    <w:name w:val="页脚 Char"/>
    <w:basedOn w:val="a0"/>
    <w:link w:val="a5"/>
    <w:uiPriority w:val="99"/>
    <w:rPr>
      <w:rFonts w:ascii="Times New Roman" w:eastAsia="宋体" w:hAnsi="Times New Roman" w:cs="Times New Roman"/>
      <w:sz w:val="18"/>
      <w:szCs w:val="18"/>
    </w:rPr>
  </w:style>
  <w:style w:type="character" w:customStyle="1" w:styleId="Char2">
    <w:name w:val="页眉 Char"/>
    <w:basedOn w:val="a0"/>
    <w:link w:val="a6"/>
    <w:uiPriority w:val="99"/>
    <w:rPr>
      <w:rFonts w:ascii="Times New Roman" w:eastAsia="宋体" w:hAnsi="Times New Roman" w:cs="Times New Roman"/>
      <w:sz w:val="18"/>
      <w:szCs w:val="18"/>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qFormat/>
    <w:rPr>
      <w:rFonts w:ascii="Times New Roman" w:eastAsia="宋体" w:hAnsi="Times New Roman" w:cs="Times New Roman"/>
    </w:rPr>
  </w:style>
  <w:style w:type="character" w:customStyle="1" w:styleId="Char3">
    <w:name w:val="批注主题 Char"/>
    <w:basedOn w:val="Char"/>
    <w:link w:val="a7"/>
    <w:uiPriority w:val="99"/>
    <w:semiHidden/>
    <w:qFormat/>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lsdException w:name="footer" w:semiHidden="0"/>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szCs w:val="22"/>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szCs w:val="24"/>
    </w:rPr>
  </w:style>
  <w:style w:type="table" w:styleId="a8">
    <w:name w:val="Table Grid"/>
    <w:basedOn w:val="a1"/>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nhideWhenUsed/>
    <w:qFormat/>
    <w:rPr>
      <w:sz w:val="21"/>
      <w:szCs w:val="21"/>
    </w:rPr>
  </w:style>
  <w:style w:type="character" w:customStyle="1" w:styleId="Char1">
    <w:name w:val="页脚 Char"/>
    <w:basedOn w:val="a0"/>
    <w:link w:val="a5"/>
    <w:uiPriority w:val="99"/>
    <w:rPr>
      <w:rFonts w:ascii="Times New Roman" w:eastAsia="宋体" w:hAnsi="Times New Roman" w:cs="Times New Roman"/>
      <w:sz w:val="18"/>
      <w:szCs w:val="18"/>
    </w:rPr>
  </w:style>
  <w:style w:type="character" w:customStyle="1" w:styleId="Char2">
    <w:name w:val="页眉 Char"/>
    <w:basedOn w:val="a0"/>
    <w:link w:val="a6"/>
    <w:uiPriority w:val="99"/>
    <w:rPr>
      <w:rFonts w:ascii="Times New Roman" w:eastAsia="宋体" w:hAnsi="Times New Roman" w:cs="Times New Roman"/>
      <w:sz w:val="18"/>
      <w:szCs w:val="18"/>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qFormat/>
    <w:rPr>
      <w:rFonts w:ascii="Times New Roman" w:eastAsia="宋体" w:hAnsi="Times New Roman" w:cs="Times New Roman"/>
    </w:rPr>
  </w:style>
  <w:style w:type="character" w:customStyle="1" w:styleId="Char3">
    <w:name w:val="批注主题 Char"/>
    <w:basedOn w:val="Char"/>
    <w:link w:val="a7"/>
    <w:uiPriority w:val="99"/>
    <w:semiHidden/>
    <w:qFormat/>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8CBFAE-80F5-481D-9BB8-65921465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592</Words>
  <Characters>3376</Characters>
  <Application>Microsoft Office Word</Application>
  <DocSecurity>0</DocSecurity>
  <Lines>28</Lines>
  <Paragraphs>7</Paragraphs>
  <ScaleCrop>false</ScaleCrop>
  <Company>Razer</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B1zhangjin</dc:creator>
  <cp:lastModifiedBy>wangqingyu     王清宇</cp:lastModifiedBy>
  <cp:revision>67</cp:revision>
  <dcterms:created xsi:type="dcterms:W3CDTF">2019-10-11T06:58:00Z</dcterms:created>
  <dcterms:modified xsi:type="dcterms:W3CDTF">2021-06-08T06:21:00Z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