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8C8B10D" w14:textId="50A9FF36" w:rsidR="00BD643B" w:rsidRPr="00CC55FA" w:rsidRDefault="00BD643B" w:rsidP="00BD643B">
      <w:pPr>
        <w:adjustRightInd w:val="0"/>
        <w:snapToGrid w:val="0"/>
        <w:spacing w:line="360" w:lineRule="auto"/>
        <w:jc w:val="left"/>
        <w:rPr>
          <w:rFonts w:ascii="宋体" w:hAnsi="宋体"/>
          <w:sz w:val="24"/>
        </w:rPr>
      </w:pPr>
      <w:r w:rsidRPr="00CC55FA">
        <w:rPr>
          <w:rFonts w:ascii="宋体" w:hAnsi="宋体" w:hint="eastAsia"/>
          <w:sz w:val="24"/>
        </w:rPr>
        <w:t>证券代码：600198         证券简称：</w:t>
      </w:r>
      <w:r w:rsidR="00D418AA" w:rsidRPr="00233829">
        <w:rPr>
          <w:rFonts w:ascii="宋体" w:hAnsi="宋体"/>
          <w:sz w:val="24"/>
        </w:rPr>
        <w:t>*ST</w:t>
      </w:r>
      <w:r w:rsidR="00D418AA" w:rsidRPr="00233829">
        <w:rPr>
          <w:rFonts w:ascii="宋体" w:hAnsi="宋体" w:hint="eastAsia"/>
          <w:sz w:val="24"/>
        </w:rPr>
        <w:t>大唐</w:t>
      </w:r>
      <w:r w:rsidRPr="00CC55FA">
        <w:rPr>
          <w:rFonts w:ascii="宋体" w:hAnsi="宋体" w:hint="eastAsia"/>
          <w:sz w:val="24"/>
        </w:rPr>
        <w:t xml:space="preserve">       公告编号：</w:t>
      </w:r>
      <w:r w:rsidR="006D0972" w:rsidRPr="00CC55FA">
        <w:rPr>
          <w:rFonts w:ascii="宋体" w:hAnsi="宋体" w:hint="eastAsia"/>
          <w:sz w:val="24"/>
        </w:rPr>
        <w:t>2021-</w:t>
      </w:r>
      <w:r w:rsidR="008774F0">
        <w:rPr>
          <w:rFonts w:ascii="宋体" w:hAnsi="宋体" w:hint="eastAsia"/>
          <w:sz w:val="24"/>
        </w:rPr>
        <w:t>072</w:t>
      </w:r>
    </w:p>
    <w:p w14:paraId="263D30F1" w14:textId="77777777" w:rsidR="00BD643B" w:rsidRPr="00CC55FA" w:rsidRDefault="00BD643B" w:rsidP="00BD643B">
      <w:pPr>
        <w:spacing w:line="360" w:lineRule="auto"/>
        <w:jc w:val="center"/>
        <w:rPr>
          <w:rFonts w:ascii="宋体" w:hAnsi="宋体"/>
          <w:sz w:val="36"/>
        </w:rPr>
      </w:pPr>
    </w:p>
    <w:p w14:paraId="148B52A3" w14:textId="77777777" w:rsidR="00BD643B" w:rsidRPr="00CC55FA" w:rsidRDefault="00BD643B" w:rsidP="00BD643B">
      <w:pPr>
        <w:adjustRightInd w:val="0"/>
        <w:snapToGrid w:val="0"/>
        <w:spacing w:line="360" w:lineRule="auto"/>
        <w:ind w:firstLine="510"/>
        <w:jc w:val="center"/>
        <w:rPr>
          <w:rFonts w:ascii="黑体" w:eastAsia="黑体" w:hAnsi="黑体"/>
          <w:b/>
          <w:color w:val="FF0000"/>
          <w:sz w:val="36"/>
          <w:szCs w:val="36"/>
        </w:rPr>
      </w:pPr>
      <w:r w:rsidRPr="00CC55FA">
        <w:rPr>
          <w:rFonts w:ascii="黑体" w:eastAsia="黑体" w:hAnsi="黑体" w:hint="eastAsia"/>
          <w:b/>
          <w:color w:val="FF0000"/>
          <w:sz w:val="36"/>
          <w:szCs w:val="36"/>
        </w:rPr>
        <w:t>大唐电信科技股份有限公司</w:t>
      </w:r>
    </w:p>
    <w:p w14:paraId="3FEDFCD3" w14:textId="77777777" w:rsidR="00BD643B" w:rsidRPr="00CC55FA" w:rsidRDefault="00BD643B" w:rsidP="00BD643B">
      <w:pPr>
        <w:adjustRightInd w:val="0"/>
        <w:snapToGrid w:val="0"/>
        <w:spacing w:line="360" w:lineRule="auto"/>
        <w:ind w:firstLine="510"/>
        <w:jc w:val="center"/>
        <w:rPr>
          <w:rFonts w:ascii="黑体" w:eastAsia="黑体" w:hAnsi="黑体"/>
          <w:b/>
          <w:color w:val="FF0000"/>
          <w:sz w:val="36"/>
          <w:szCs w:val="36"/>
        </w:rPr>
      </w:pPr>
      <w:r w:rsidRPr="00CC55FA">
        <w:rPr>
          <w:rFonts w:ascii="黑体" w:eastAsia="黑体" w:hAnsi="黑体" w:hint="eastAsia"/>
          <w:b/>
          <w:color w:val="FF0000"/>
          <w:sz w:val="36"/>
          <w:szCs w:val="36"/>
        </w:rPr>
        <w:t>关于公司下属子公司重大诉讼进展的公告</w:t>
      </w:r>
    </w:p>
    <w:p w14:paraId="2808FAAD" w14:textId="77777777" w:rsidR="00BD643B" w:rsidRPr="00CC55FA" w:rsidRDefault="00BD643B" w:rsidP="00BD643B">
      <w:pPr>
        <w:adjustRightInd w:val="0"/>
        <w:snapToGrid w:val="0"/>
        <w:spacing w:line="360" w:lineRule="auto"/>
        <w:ind w:firstLine="510"/>
        <w:jc w:val="center"/>
        <w:rPr>
          <w:rFonts w:ascii="宋体" w:hAnsi="宋体"/>
          <w:bCs/>
          <w:sz w:val="24"/>
        </w:rPr>
      </w:pPr>
    </w:p>
    <w:p w14:paraId="7B859862" w14:textId="77777777" w:rsidR="00BD643B" w:rsidRPr="00CC55FA" w:rsidRDefault="00BD643B" w:rsidP="00304AAB">
      <w:pPr>
        <w:pBdr>
          <w:top w:val="single" w:sz="4" w:space="1" w:color="auto"/>
          <w:left w:val="single" w:sz="4" w:space="4" w:color="auto"/>
          <w:bottom w:val="single" w:sz="4" w:space="1" w:color="auto"/>
          <w:right w:val="single" w:sz="4" w:space="4" w:color="auto"/>
        </w:pBdr>
        <w:adjustRightInd w:val="0"/>
        <w:snapToGrid w:val="0"/>
        <w:spacing w:line="360" w:lineRule="auto"/>
        <w:rPr>
          <w:rFonts w:ascii="宋体" w:hAnsi="宋体"/>
          <w:color w:val="000000"/>
          <w:sz w:val="24"/>
        </w:rPr>
      </w:pPr>
      <w:r w:rsidRPr="00CC55FA">
        <w:rPr>
          <w:rFonts w:ascii="宋体" w:hAnsi="宋体" w:hint="eastAsia"/>
          <w:color w:val="000000"/>
          <w:sz w:val="24"/>
        </w:rPr>
        <w:t xml:space="preserve">    本公司董事会及全体董事保证本公告内容不存在任何虚假记载、误导性陈述或者重大遗漏，并对其内容的真实性、准确性和完整性承担个别及连带责任。</w:t>
      </w:r>
    </w:p>
    <w:p w14:paraId="4F33EA20" w14:textId="77777777" w:rsidR="00BD643B" w:rsidRPr="00CC55FA" w:rsidRDefault="00BD643B" w:rsidP="00BD643B">
      <w:pPr>
        <w:tabs>
          <w:tab w:val="num" w:pos="1500"/>
        </w:tabs>
        <w:adjustRightInd w:val="0"/>
        <w:snapToGrid w:val="0"/>
        <w:spacing w:line="360" w:lineRule="auto"/>
        <w:ind w:firstLine="555"/>
        <w:rPr>
          <w:rFonts w:ascii="宋体" w:hAnsi="宋体"/>
          <w:sz w:val="24"/>
        </w:rPr>
      </w:pPr>
      <w:r w:rsidRPr="00CC55FA">
        <w:rPr>
          <w:rFonts w:ascii="宋体" w:hAnsi="宋体" w:hint="eastAsia"/>
          <w:sz w:val="24"/>
        </w:rPr>
        <w:t> </w:t>
      </w:r>
    </w:p>
    <w:p w14:paraId="15A9B7A7" w14:textId="77777777" w:rsidR="00BD643B" w:rsidRPr="00CC55FA" w:rsidRDefault="00BD643B" w:rsidP="00BD643B">
      <w:pPr>
        <w:tabs>
          <w:tab w:val="num" w:pos="1500"/>
        </w:tabs>
        <w:adjustRightInd w:val="0"/>
        <w:snapToGrid w:val="0"/>
        <w:spacing w:line="360" w:lineRule="auto"/>
        <w:ind w:firstLine="555"/>
        <w:rPr>
          <w:rFonts w:ascii="宋体" w:hAnsi="宋体"/>
          <w:b/>
          <w:sz w:val="24"/>
        </w:rPr>
      </w:pPr>
      <w:r w:rsidRPr="00CC55FA">
        <w:rPr>
          <w:rFonts w:ascii="宋体" w:hAnsi="宋体" w:hint="eastAsia"/>
          <w:b/>
          <w:sz w:val="24"/>
        </w:rPr>
        <w:t>重要内容提示:</w:t>
      </w:r>
    </w:p>
    <w:p w14:paraId="2AF735F8" w14:textId="77777777" w:rsidR="00BD643B" w:rsidRPr="00CC55FA" w:rsidRDefault="00C36462" w:rsidP="00BD643B">
      <w:pPr>
        <w:numPr>
          <w:ilvl w:val="0"/>
          <w:numId w:val="1"/>
        </w:numPr>
        <w:adjustRightInd w:val="0"/>
        <w:snapToGrid w:val="0"/>
        <w:spacing w:line="360" w:lineRule="auto"/>
        <w:rPr>
          <w:rFonts w:ascii="宋体" w:hAnsi="宋体"/>
          <w:sz w:val="24"/>
        </w:rPr>
      </w:pPr>
      <w:r>
        <w:rPr>
          <w:rFonts w:ascii="宋体" w:hAnsi="宋体" w:hint="eastAsia"/>
          <w:sz w:val="24"/>
        </w:rPr>
        <w:t>案件所处的诉讼（仲裁）阶段：二审裁定已下达</w:t>
      </w:r>
      <w:r w:rsidR="006D0972" w:rsidRPr="00CC55FA">
        <w:rPr>
          <w:rFonts w:ascii="宋体" w:hAnsi="宋体"/>
          <w:sz w:val="24"/>
        </w:rPr>
        <w:t xml:space="preserve"> </w:t>
      </w:r>
    </w:p>
    <w:p w14:paraId="68DE3CB0" w14:textId="77777777" w:rsidR="00BD643B" w:rsidRPr="00CC55FA" w:rsidRDefault="00BD643B" w:rsidP="00BD643B">
      <w:pPr>
        <w:numPr>
          <w:ilvl w:val="0"/>
          <w:numId w:val="1"/>
        </w:numPr>
        <w:adjustRightInd w:val="0"/>
        <w:snapToGrid w:val="0"/>
        <w:spacing w:line="360" w:lineRule="auto"/>
        <w:rPr>
          <w:rFonts w:ascii="宋体" w:hAnsi="宋体"/>
          <w:sz w:val="24"/>
        </w:rPr>
      </w:pPr>
      <w:r w:rsidRPr="00CC55FA">
        <w:rPr>
          <w:rFonts w:ascii="宋体" w:hAnsi="宋体" w:hint="eastAsia"/>
          <w:sz w:val="24"/>
        </w:rPr>
        <w:t>公司下属子公司所处的当事人地位：被上诉人</w:t>
      </w:r>
    </w:p>
    <w:p w14:paraId="30CB24B9" w14:textId="2412564C" w:rsidR="006D0972" w:rsidRPr="00CC55FA" w:rsidRDefault="00BD643B" w:rsidP="00FF59B9">
      <w:pPr>
        <w:numPr>
          <w:ilvl w:val="0"/>
          <w:numId w:val="1"/>
        </w:numPr>
        <w:adjustRightInd w:val="0"/>
        <w:snapToGrid w:val="0"/>
        <w:spacing w:line="360" w:lineRule="auto"/>
        <w:jc w:val="left"/>
        <w:rPr>
          <w:rFonts w:ascii="宋体" w:hAnsi="宋体"/>
          <w:sz w:val="24"/>
        </w:rPr>
      </w:pPr>
      <w:r w:rsidRPr="00CC55FA">
        <w:rPr>
          <w:rFonts w:ascii="宋体" w:hAnsi="宋体" w:hint="eastAsia"/>
          <w:sz w:val="24"/>
        </w:rPr>
        <w:t>涉案的金额：</w:t>
      </w:r>
      <w:r w:rsidR="00BC1F5D">
        <w:rPr>
          <w:rFonts w:ascii="宋体" w:hAnsi="宋体" w:hint="eastAsia"/>
          <w:sz w:val="24"/>
        </w:rPr>
        <w:t>大唐半导体设计有限公司涉诉案件金额</w:t>
      </w:r>
      <w:r w:rsidR="008774F0">
        <w:rPr>
          <w:rFonts w:ascii="宋体" w:hAnsi="宋体" w:hint="eastAsia"/>
          <w:sz w:val="24"/>
        </w:rPr>
        <w:t>为</w:t>
      </w:r>
      <w:r w:rsidR="003660C0" w:rsidRPr="00CC55FA">
        <w:rPr>
          <w:rFonts w:ascii="宋体" w:hAnsi="宋体"/>
          <w:sz w:val="24"/>
        </w:rPr>
        <w:t>365,680,137.60</w:t>
      </w:r>
      <w:r w:rsidR="00BC1F5D">
        <w:rPr>
          <w:rFonts w:ascii="宋体" w:hAnsi="宋体" w:hint="eastAsia"/>
          <w:sz w:val="24"/>
        </w:rPr>
        <w:t xml:space="preserve"> </w:t>
      </w:r>
      <w:r w:rsidR="003660C0" w:rsidRPr="00CC55FA">
        <w:rPr>
          <w:rFonts w:ascii="宋体" w:hAnsi="宋体" w:hint="eastAsia"/>
          <w:sz w:val="24"/>
        </w:rPr>
        <w:t>元；大唐微电子技术有限公司涉诉案件金额为117,094,041.60元</w:t>
      </w:r>
    </w:p>
    <w:p w14:paraId="6AE60AFB" w14:textId="0F7B45FD" w:rsidR="00BC1F5D" w:rsidRPr="00BC1F5D" w:rsidRDefault="00BD643B" w:rsidP="00BC1F5D">
      <w:pPr>
        <w:numPr>
          <w:ilvl w:val="0"/>
          <w:numId w:val="1"/>
        </w:numPr>
        <w:adjustRightInd w:val="0"/>
        <w:snapToGrid w:val="0"/>
        <w:spacing w:line="360" w:lineRule="auto"/>
        <w:rPr>
          <w:rFonts w:ascii="宋体" w:hAnsi="宋体"/>
          <w:sz w:val="24"/>
        </w:rPr>
      </w:pPr>
      <w:r w:rsidRPr="00332CED">
        <w:rPr>
          <w:rFonts w:ascii="宋体" w:hAnsi="宋体" w:hint="eastAsia"/>
          <w:sz w:val="24"/>
        </w:rPr>
        <w:t>是否会对上市公司损益产生负面影响：</w:t>
      </w:r>
      <w:r w:rsidR="00BC1F5D" w:rsidRPr="00BC1F5D">
        <w:rPr>
          <w:rFonts w:ascii="宋体" w:hAnsi="宋体" w:hint="eastAsia"/>
          <w:sz w:val="24"/>
        </w:rPr>
        <w:t>本次裁定下达不会对公司损益产生影响。</w:t>
      </w:r>
    </w:p>
    <w:p w14:paraId="2291D5F7" w14:textId="77777777" w:rsidR="00BD643B" w:rsidRPr="00BC1F5D" w:rsidRDefault="00BD643B" w:rsidP="00BD643B">
      <w:pPr>
        <w:adjustRightInd w:val="0"/>
        <w:snapToGrid w:val="0"/>
        <w:spacing w:line="360" w:lineRule="auto"/>
        <w:ind w:left="480"/>
        <w:rPr>
          <w:rFonts w:ascii="宋体" w:hAnsi="宋体"/>
          <w:sz w:val="24"/>
        </w:rPr>
      </w:pPr>
    </w:p>
    <w:p w14:paraId="4FCA3461" w14:textId="77777777" w:rsidR="003660C0" w:rsidRPr="00CC55FA" w:rsidRDefault="003660C0" w:rsidP="003660C0">
      <w:pPr>
        <w:adjustRightInd w:val="0"/>
        <w:snapToGrid w:val="0"/>
        <w:spacing w:beforeLines="50" w:before="156" w:afterLines="50" w:after="156" w:line="360" w:lineRule="auto"/>
        <w:ind w:leftChars="50" w:left="105" w:rightChars="50" w:right="105" w:firstLineChars="200" w:firstLine="480"/>
        <w:rPr>
          <w:rFonts w:ascii="宋体" w:hAnsi="宋体"/>
          <w:b/>
          <w:sz w:val="24"/>
        </w:rPr>
      </w:pPr>
      <w:r w:rsidRPr="00CC55FA">
        <w:rPr>
          <w:rFonts w:ascii="宋体" w:hAnsi="宋体" w:hint="eastAsia"/>
          <w:sz w:val="24"/>
        </w:rPr>
        <w:t>一、</w:t>
      </w:r>
      <w:r w:rsidRPr="00CC55FA">
        <w:rPr>
          <w:rFonts w:ascii="宋体" w:hAnsi="宋体" w:hint="eastAsia"/>
          <w:b/>
          <w:sz w:val="24"/>
        </w:rPr>
        <w:t>北京神州泰岳系统集成</w:t>
      </w:r>
      <w:proofErr w:type="gramStart"/>
      <w:r w:rsidRPr="00CC55FA">
        <w:rPr>
          <w:rFonts w:ascii="宋体" w:hAnsi="宋体" w:hint="eastAsia"/>
          <w:b/>
          <w:sz w:val="24"/>
        </w:rPr>
        <w:t>有限公司诉大唐</w:t>
      </w:r>
      <w:proofErr w:type="gramEnd"/>
      <w:r w:rsidRPr="00CC55FA">
        <w:rPr>
          <w:rFonts w:ascii="宋体" w:hAnsi="宋体" w:hint="eastAsia"/>
          <w:b/>
          <w:sz w:val="24"/>
        </w:rPr>
        <w:t>半导体设计有限公司案</w:t>
      </w:r>
    </w:p>
    <w:p w14:paraId="1B484A4D" w14:textId="2D249831" w:rsidR="003660C0" w:rsidRPr="00CC55FA" w:rsidRDefault="003660C0" w:rsidP="00056B4C">
      <w:pPr>
        <w:adjustRightInd w:val="0"/>
        <w:snapToGrid w:val="0"/>
        <w:spacing w:beforeLines="50" w:before="156" w:afterLines="50" w:after="156" w:line="360" w:lineRule="auto"/>
        <w:ind w:leftChars="50" w:left="105" w:rightChars="50" w:right="105" w:firstLineChars="200" w:firstLine="480"/>
        <w:rPr>
          <w:rFonts w:ascii="宋体" w:hAnsi="宋体"/>
          <w:sz w:val="24"/>
        </w:rPr>
      </w:pPr>
      <w:r w:rsidRPr="00CC55FA">
        <w:rPr>
          <w:rFonts w:ascii="宋体" w:hAnsi="宋体" w:hint="eastAsia"/>
          <w:sz w:val="24"/>
        </w:rPr>
        <w:t>北京神州泰岳系统集成有限公司（以下简称“神州泰岳”）就与大唐半导体设计有限公司（公司控股子公司，以下简称“大唐半导体”）间的38份销售合同纠纷，再次向北京市海淀区人民法院提起诉讼，请求判令大唐半导体支付合同货款304,733,448.00元及逾期付款违约金60,946,689.60元，合计365,680,137.60元。</w:t>
      </w:r>
      <w:r w:rsidR="00A97647" w:rsidRPr="00CC55FA">
        <w:rPr>
          <w:rFonts w:ascii="宋体" w:hAnsi="宋体" w:hint="eastAsia"/>
          <w:sz w:val="24"/>
        </w:rPr>
        <w:t>大唐半导体</w:t>
      </w:r>
      <w:r w:rsidR="009D7CE0" w:rsidRPr="00CC55FA">
        <w:rPr>
          <w:rFonts w:ascii="宋体" w:hAnsi="宋体" w:hint="eastAsia"/>
          <w:sz w:val="24"/>
        </w:rPr>
        <w:t>分别</w:t>
      </w:r>
      <w:r w:rsidR="00A97647" w:rsidRPr="00CC55FA">
        <w:rPr>
          <w:rFonts w:ascii="宋体" w:hAnsi="宋体" w:hint="eastAsia"/>
          <w:sz w:val="24"/>
        </w:rPr>
        <w:t>于</w:t>
      </w:r>
      <w:r w:rsidR="009D7CE0" w:rsidRPr="00CC55FA">
        <w:rPr>
          <w:rFonts w:ascii="宋体" w:hAnsi="宋体" w:hint="eastAsia"/>
          <w:sz w:val="24"/>
        </w:rPr>
        <w:t>2021年4月1日和</w:t>
      </w:r>
      <w:r w:rsidR="00A97647" w:rsidRPr="00CC55FA">
        <w:rPr>
          <w:rFonts w:ascii="宋体" w:hAnsi="宋体" w:hint="eastAsia"/>
          <w:sz w:val="24"/>
        </w:rPr>
        <w:t>4月6日收到北京市海淀区人民法院送达的民事裁定书，法院裁定驳回神州泰岳的起诉。</w:t>
      </w:r>
      <w:r w:rsidRPr="00CC55FA">
        <w:rPr>
          <w:rFonts w:ascii="宋体" w:hAnsi="宋体" w:hint="eastAsia"/>
          <w:sz w:val="24"/>
        </w:rPr>
        <w:t>北京市海淀区人民法院经审查认为：北京市第一中级人民法院曾就本案</w:t>
      </w:r>
      <w:proofErr w:type="gramStart"/>
      <w:r w:rsidRPr="00CC55FA">
        <w:rPr>
          <w:rFonts w:ascii="宋体" w:hAnsi="宋体" w:hint="eastAsia"/>
          <w:sz w:val="24"/>
        </w:rPr>
        <w:t>作出</w:t>
      </w:r>
      <w:proofErr w:type="gramEnd"/>
      <w:r w:rsidRPr="00CC55FA">
        <w:rPr>
          <w:rFonts w:ascii="宋体" w:hAnsi="宋体" w:hint="eastAsia"/>
          <w:sz w:val="24"/>
        </w:rPr>
        <w:t>终审裁定，</w:t>
      </w:r>
      <w:r w:rsidRPr="00CC55FA">
        <w:rPr>
          <w:rFonts w:ascii="宋体" w:hAnsi="宋体"/>
          <w:sz w:val="24"/>
        </w:rPr>
        <w:t>本案审理需</w:t>
      </w:r>
      <w:r w:rsidRPr="00CC55FA">
        <w:rPr>
          <w:rFonts w:ascii="宋体" w:hAnsi="宋体" w:hint="eastAsia"/>
          <w:sz w:val="24"/>
        </w:rPr>
        <w:t>要依据刑事案件的处理结果判断涉案合同是否为</w:t>
      </w:r>
      <w:r w:rsidRPr="00CC55FA">
        <w:rPr>
          <w:rFonts w:ascii="宋体" w:hAnsi="宋体"/>
          <w:sz w:val="24"/>
        </w:rPr>
        <w:t>第三方北京实利通和科技发展有限公司（大唐半导体的下游客户</w:t>
      </w:r>
      <w:r w:rsidRPr="00CC55FA">
        <w:rPr>
          <w:rFonts w:ascii="宋体" w:hAnsi="宋体" w:hint="eastAsia"/>
          <w:sz w:val="24"/>
        </w:rPr>
        <w:t>，</w:t>
      </w:r>
      <w:r w:rsidRPr="00CC55FA">
        <w:rPr>
          <w:rFonts w:ascii="宋体" w:hAnsi="宋体"/>
          <w:sz w:val="24"/>
        </w:rPr>
        <w:t>以下简称“实利通和”）</w:t>
      </w:r>
      <w:r w:rsidRPr="00CC55FA">
        <w:rPr>
          <w:rFonts w:ascii="宋体" w:hAnsi="宋体" w:hint="eastAsia"/>
          <w:sz w:val="24"/>
        </w:rPr>
        <w:t>实施涉嫌诈骗行为的手段和方式。本案审理需以</w:t>
      </w:r>
      <w:r w:rsidRPr="00CC55FA">
        <w:rPr>
          <w:rFonts w:ascii="宋体" w:hAnsi="宋体"/>
          <w:sz w:val="24"/>
        </w:rPr>
        <w:t>刑事案件的处理结果为前提</w:t>
      </w:r>
      <w:r w:rsidRPr="00CC55FA">
        <w:rPr>
          <w:rFonts w:ascii="宋体" w:hAnsi="宋体" w:hint="eastAsia"/>
          <w:sz w:val="24"/>
        </w:rPr>
        <w:t>。该刑事案件尚未侦查终结，亦不能排除涉案合同为实利通和实施涉嫌诈骗行为的</w:t>
      </w:r>
      <w:r w:rsidRPr="00CC55FA">
        <w:rPr>
          <w:rFonts w:ascii="宋体" w:hAnsi="宋体" w:hint="eastAsia"/>
          <w:sz w:val="24"/>
        </w:rPr>
        <w:lastRenderedPageBreak/>
        <w:t>手段和方式。本案涉及的案件事实及主要证据材料，因可能涉嫌经济犯罪而应先移送刑事侦查，相关民事责任应当根据刑事问题的认定结果再依法处理，裁定驳回神州泰岳的起诉。</w:t>
      </w:r>
      <w:r w:rsidR="00D05671" w:rsidRPr="00F87FE5">
        <w:rPr>
          <w:rFonts w:ascii="宋体" w:hAnsi="宋体" w:hint="eastAsia"/>
          <w:sz w:val="24"/>
        </w:rPr>
        <w:t>神州泰岳不服一审裁定，向北京市第一中级人民法院提起上诉。</w:t>
      </w:r>
      <w:r w:rsidR="00654FB2" w:rsidRPr="00CC55FA">
        <w:rPr>
          <w:rFonts w:ascii="宋体" w:hAnsi="宋体"/>
          <w:sz w:val="24"/>
        </w:rPr>
        <w:t>就前</w:t>
      </w:r>
      <w:r w:rsidRPr="00CC55FA">
        <w:rPr>
          <w:rFonts w:ascii="宋体" w:hAnsi="宋体"/>
          <w:sz w:val="24"/>
        </w:rPr>
        <w:t>述合同纠纷</w:t>
      </w:r>
      <w:r w:rsidRPr="00CC55FA">
        <w:rPr>
          <w:rFonts w:ascii="宋体" w:hAnsi="宋体" w:hint="eastAsia"/>
          <w:sz w:val="24"/>
        </w:rPr>
        <w:t>，</w:t>
      </w:r>
      <w:r w:rsidRPr="00CC55FA">
        <w:rPr>
          <w:rFonts w:ascii="宋体" w:hAnsi="宋体"/>
          <w:sz w:val="24"/>
        </w:rPr>
        <w:t>2018年4月，神州泰岳提起民事诉讼，要求公司履行买卖合同的支付义务</w:t>
      </w:r>
      <w:r w:rsidRPr="00CC55FA">
        <w:rPr>
          <w:rFonts w:ascii="宋体" w:hAnsi="宋体" w:hint="eastAsia"/>
          <w:sz w:val="24"/>
        </w:rPr>
        <w:t>。</w:t>
      </w:r>
      <w:r w:rsidRPr="00CC55FA">
        <w:rPr>
          <w:rFonts w:ascii="宋体" w:hAnsi="宋体"/>
          <w:sz w:val="24"/>
        </w:rPr>
        <w:t>2018-2019年，因涉及刑事案件，北京市第一中级人民法院、北京市高级人民法院均已先后以“案件涉及的民事争议是否是第三方公司实施犯罪行为的手段和方式，尚待刑事案件处理结果做出判断”为由驳回神州泰岳的民事诉讼，其诉讼并未被实体受理。</w:t>
      </w:r>
      <w:r w:rsidRPr="00F87FE5">
        <w:rPr>
          <w:rFonts w:ascii="宋体" w:hAnsi="宋体" w:hint="eastAsia"/>
          <w:sz w:val="24"/>
        </w:rPr>
        <w:t>详见公司于2021年4月3日、2021年4月7日披露的《大唐电信科技股份有限公司涉及诉讼、仲裁公告》（公告编号：2021-025、2021-027）</w:t>
      </w:r>
      <w:r w:rsidR="00895445" w:rsidRPr="00F87FE5">
        <w:rPr>
          <w:rFonts w:ascii="宋体" w:hAnsi="宋体" w:hint="eastAsia"/>
          <w:sz w:val="24"/>
        </w:rPr>
        <w:t>和2021</w:t>
      </w:r>
      <w:r w:rsidR="00895445" w:rsidRPr="00F87FE5">
        <w:rPr>
          <w:rFonts w:ascii="宋体" w:hAnsi="宋体"/>
          <w:sz w:val="24"/>
        </w:rPr>
        <w:t>年</w:t>
      </w:r>
      <w:r w:rsidR="00895445" w:rsidRPr="00F87FE5">
        <w:rPr>
          <w:rFonts w:ascii="宋体" w:hAnsi="宋体" w:hint="eastAsia"/>
          <w:sz w:val="24"/>
        </w:rPr>
        <w:t>4</w:t>
      </w:r>
      <w:r w:rsidR="00895445" w:rsidRPr="00F87FE5">
        <w:rPr>
          <w:rFonts w:ascii="宋体" w:hAnsi="宋体"/>
          <w:sz w:val="24"/>
        </w:rPr>
        <w:t>月</w:t>
      </w:r>
      <w:r w:rsidR="00895445" w:rsidRPr="00F87FE5">
        <w:rPr>
          <w:rFonts w:ascii="宋体" w:hAnsi="宋体" w:hint="eastAsia"/>
          <w:sz w:val="24"/>
        </w:rPr>
        <w:t>16</w:t>
      </w:r>
      <w:r w:rsidR="00895445" w:rsidRPr="00F87FE5">
        <w:rPr>
          <w:rFonts w:ascii="宋体" w:hAnsi="宋体"/>
          <w:sz w:val="24"/>
        </w:rPr>
        <w:t>日</w:t>
      </w:r>
      <w:r w:rsidR="00895445" w:rsidRPr="00F87FE5">
        <w:rPr>
          <w:rFonts w:ascii="宋体" w:hAnsi="宋体" w:hint="eastAsia"/>
          <w:sz w:val="24"/>
        </w:rPr>
        <w:t>《大唐电信科技股份有限公司关于公司下属子公司重大诉讼进展的公告》（公告编号：2021-029）</w:t>
      </w:r>
      <w:r w:rsidRPr="00F87FE5">
        <w:rPr>
          <w:rFonts w:ascii="宋体" w:hAnsi="宋体" w:hint="eastAsia"/>
          <w:sz w:val="24"/>
        </w:rPr>
        <w:t>。</w:t>
      </w:r>
    </w:p>
    <w:p w14:paraId="3F573660" w14:textId="1D252A87" w:rsidR="00BD643B" w:rsidRPr="00CC55FA" w:rsidRDefault="00F54586" w:rsidP="004C0270">
      <w:pPr>
        <w:adjustRightInd w:val="0"/>
        <w:snapToGrid w:val="0"/>
        <w:spacing w:beforeLines="50" w:before="156" w:afterLines="50" w:after="156" w:line="360" w:lineRule="auto"/>
        <w:ind w:leftChars="50" w:left="105" w:rightChars="50" w:right="105" w:firstLineChars="200" w:firstLine="480"/>
        <w:rPr>
          <w:rFonts w:ascii="宋体" w:hAnsi="宋体"/>
          <w:sz w:val="24"/>
        </w:rPr>
      </w:pPr>
      <w:r>
        <w:rPr>
          <w:rFonts w:ascii="宋体" w:hAnsi="宋体" w:hint="eastAsia"/>
          <w:sz w:val="24"/>
        </w:rPr>
        <w:t>现公司收到</w:t>
      </w:r>
      <w:r w:rsidR="006048BB" w:rsidRPr="0033533F">
        <w:rPr>
          <w:rFonts w:ascii="宋体" w:hAnsi="宋体" w:hint="eastAsia"/>
          <w:sz w:val="24"/>
        </w:rPr>
        <w:t>北京市第一中级人民法院送达</w:t>
      </w:r>
      <w:r>
        <w:rPr>
          <w:rFonts w:ascii="宋体" w:hAnsi="宋体" w:hint="eastAsia"/>
          <w:sz w:val="24"/>
        </w:rPr>
        <w:t>的</w:t>
      </w:r>
      <w:r w:rsidR="006F6F9B" w:rsidRPr="0033533F">
        <w:rPr>
          <w:rFonts w:ascii="宋体" w:hAnsi="宋体" w:hint="eastAsia"/>
          <w:sz w:val="24"/>
        </w:rPr>
        <w:t>终审民事裁定书，法院认为，神州泰岳</w:t>
      </w:r>
      <w:r w:rsidR="004C0270" w:rsidRPr="0033533F">
        <w:rPr>
          <w:rFonts w:ascii="宋体" w:hAnsi="宋体" w:hint="eastAsia"/>
          <w:sz w:val="24"/>
        </w:rPr>
        <w:t>的上诉请求不能成立，</w:t>
      </w:r>
      <w:r w:rsidR="00782D19" w:rsidRPr="0033533F">
        <w:rPr>
          <w:rFonts w:ascii="宋体" w:hAnsi="宋体" w:hint="eastAsia"/>
          <w:sz w:val="24"/>
        </w:rPr>
        <w:t>一审裁定认定事实清楚、适用法律正确，</w:t>
      </w:r>
      <w:r w:rsidR="002427C6" w:rsidRPr="0033533F">
        <w:rPr>
          <w:rFonts w:ascii="宋体" w:hAnsi="宋体" w:hint="eastAsia"/>
          <w:sz w:val="24"/>
        </w:rPr>
        <w:t>故</w:t>
      </w:r>
      <w:r w:rsidR="004C0270" w:rsidRPr="0033533F">
        <w:rPr>
          <w:rFonts w:ascii="宋体" w:hAnsi="宋体" w:hint="eastAsia"/>
          <w:sz w:val="24"/>
        </w:rPr>
        <w:t>裁定驳回上诉，维持原裁定。</w:t>
      </w:r>
    </w:p>
    <w:p w14:paraId="0FCDE8E1" w14:textId="77777777" w:rsidR="00203D06" w:rsidRPr="00CC55FA" w:rsidRDefault="00203D06" w:rsidP="00203D06">
      <w:pPr>
        <w:adjustRightInd w:val="0"/>
        <w:snapToGrid w:val="0"/>
        <w:spacing w:beforeLines="50" w:before="156" w:afterLines="50" w:after="156" w:line="360" w:lineRule="auto"/>
        <w:ind w:leftChars="50" w:left="105" w:rightChars="50" w:right="105" w:firstLineChars="200" w:firstLine="482"/>
        <w:rPr>
          <w:rFonts w:ascii="宋体" w:hAnsi="宋体"/>
          <w:b/>
          <w:sz w:val="24"/>
        </w:rPr>
      </w:pPr>
      <w:r w:rsidRPr="00CC55FA">
        <w:rPr>
          <w:rFonts w:ascii="宋体" w:hAnsi="宋体" w:hint="eastAsia"/>
          <w:b/>
          <w:sz w:val="24"/>
        </w:rPr>
        <w:t>二、北京神州泰岳系统集成</w:t>
      </w:r>
      <w:proofErr w:type="gramStart"/>
      <w:r w:rsidRPr="00CC55FA">
        <w:rPr>
          <w:rFonts w:ascii="宋体" w:hAnsi="宋体" w:hint="eastAsia"/>
          <w:b/>
          <w:sz w:val="24"/>
        </w:rPr>
        <w:t>有限公司诉大唐</w:t>
      </w:r>
      <w:proofErr w:type="gramEnd"/>
      <w:r w:rsidRPr="00CC55FA">
        <w:rPr>
          <w:rFonts w:ascii="宋体" w:hAnsi="宋体" w:hint="eastAsia"/>
          <w:b/>
          <w:sz w:val="24"/>
        </w:rPr>
        <w:t>微电子技术有限公司案</w:t>
      </w:r>
      <w:bookmarkStart w:id="0" w:name="_GoBack"/>
      <w:bookmarkEnd w:id="0"/>
    </w:p>
    <w:p w14:paraId="696BB7B5" w14:textId="77777777" w:rsidR="006C613E" w:rsidRPr="00CC55FA" w:rsidRDefault="00203D06" w:rsidP="006C613E">
      <w:pPr>
        <w:adjustRightInd w:val="0"/>
        <w:snapToGrid w:val="0"/>
        <w:spacing w:beforeLines="50" w:before="156" w:afterLines="50" w:after="156" w:line="360" w:lineRule="auto"/>
        <w:ind w:leftChars="50" w:left="105" w:rightChars="50" w:right="105" w:firstLineChars="200" w:firstLine="480"/>
        <w:rPr>
          <w:rFonts w:ascii="宋体" w:hAnsi="宋体"/>
          <w:sz w:val="24"/>
        </w:rPr>
      </w:pPr>
      <w:r w:rsidRPr="00CC55FA">
        <w:rPr>
          <w:rFonts w:ascii="宋体" w:hAnsi="宋体" w:hint="eastAsia"/>
          <w:sz w:val="24"/>
        </w:rPr>
        <w:t>神州泰岳就与大唐微电子技术有限公司（公司间接控股子公司，以下简称“大唐微电子”）间的12份销售合同纠纷，再次向北京市海淀区人民法院提起诉讼，请求判令大唐微电子支付合同货款97,578,368.00元及逾期付款违约金19,515,673.60元，合计117,094,041.60 元。</w:t>
      </w:r>
      <w:r w:rsidR="00A97647" w:rsidRPr="00CC55FA">
        <w:rPr>
          <w:rFonts w:ascii="宋体" w:hAnsi="宋体" w:hint="eastAsia"/>
          <w:sz w:val="24"/>
        </w:rPr>
        <w:t>大唐微电子于2021年4月1日收到北京市海淀区人民法院送达的民事裁定书，法院裁定驳回神州泰岳的起诉。</w:t>
      </w:r>
      <w:r w:rsidRPr="00CC55FA">
        <w:rPr>
          <w:rFonts w:ascii="宋体" w:hAnsi="宋体" w:hint="eastAsia"/>
          <w:sz w:val="24"/>
        </w:rPr>
        <w:t>北京市海淀区人民法院经审查认为：北京市第一中级人民法院曾就本案</w:t>
      </w:r>
      <w:proofErr w:type="gramStart"/>
      <w:r w:rsidRPr="00CC55FA">
        <w:rPr>
          <w:rFonts w:ascii="宋体" w:hAnsi="宋体" w:hint="eastAsia"/>
          <w:sz w:val="24"/>
        </w:rPr>
        <w:t>作出</w:t>
      </w:r>
      <w:proofErr w:type="gramEnd"/>
      <w:r w:rsidRPr="00CC55FA">
        <w:rPr>
          <w:rFonts w:ascii="宋体" w:hAnsi="宋体" w:hint="eastAsia"/>
          <w:sz w:val="24"/>
        </w:rPr>
        <w:t>终审裁定，本案审理需要依据刑事案件的处理结果判断涉案合同是否为第三方实利通和（大唐微电子的下游客户）实施涉嫌诈骗行为的手段和方式。本案审理需以刑事案件的处理结果为前提。前述刑事案件尚未侦查终结，亦不能排除涉案合同为实利通和实施涉嫌诈骗行为的手段和方式。本案涉及的案件事实及主要证据材料，因可能涉嫌经济犯罪而应先移送刑事侦查，相关民事责任应当根据刑事问题的认定结果再依法处理，裁定驳回神州泰岳的起诉。</w:t>
      </w:r>
      <w:r w:rsidR="00D05671" w:rsidRPr="00ED5CA6">
        <w:rPr>
          <w:rFonts w:ascii="宋体" w:hAnsi="宋体" w:hint="eastAsia"/>
          <w:sz w:val="24"/>
        </w:rPr>
        <w:t>神州泰岳不服一审裁定，向北京市第一中级人民法院提起上诉。</w:t>
      </w:r>
      <w:r w:rsidR="00654FB2" w:rsidRPr="00CC55FA">
        <w:rPr>
          <w:rFonts w:ascii="宋体" w:hAnsi="宋体"/>
          <w:sz w:val="24"/>
        </w:rPr>
        <w:t>就前</w:t>
      </w:r>
      <w:r w:rsidRPr="00CC55FA">
        <w:rPr>
          <w:rFonts w:ascii="宋体" w:hAnsi="宋体"/>
          <w:sz w:val="24"/>
        </w:rPr>
        <w:t>述合同纠纷</w:t>
      </w:r>
      <w:r w:rsidRPr="00CC55FA">
        <w:rPr>
          <w:rFonts w:ascii="宋体" w:hAnsi="宋体" w:hint="eastAsia"/>
          <w:sz w:val="24"/>
        </w:rPr>
        <w:t>，</w:t>
      </w:r>
      <w:r w:rsidRPr="00CC55FA">
        <w:rPr>
          <w:rFonts w:ascii="宋体" w:hAnsi="宋体"/>
          <w:sz w:val="24"/>
        </w:rPr>
        <w:t>2018年4</w:t>
      </w:r>
      <w:r w:rsidRPr="00CC55FA">
        <w:rPr>
          <w:rFonts w:ascii="宋体" w:hAnsi="宋体"/>
          <w:sz w:val="24"/>
        </w:rPr>
        <w:lastRenderedPageBreak/>
        <w:t>月，神州泰岳提起民事诉讼，要求公司履行买卖合同的支付义务</w:t>
      </w:r>
      <w:r w:rsidRPr="00CC55FA">
        <w:rPr>
          <w:rFonts w:ascii="宋体" w:hAnsi="宋体" w:hint="eastAsia"/>
          <w:sz w:val="24"/>
        </w:rPr>
        <w:t>。</w:t>
      </w:r>
      <w:r w:rsidRPr="00CC55FA">
        <w:rPr>
          <w:rFonts w:ascii="宋体" w:hAnsi="宋体"/>
          <w:sz w:val="24"/>
        </w:rPr>
        <w:t>2018-2019年，因涉及刑事案件，北京市第一中级人民法院、北京市高级人民法院均已先后以“案件涉及的民事争议是否是第三方公司实施犯罪行为的手段和方式，尚待刑事案件处理结果做出判断”为由驳回神州泰岳的民事诉讼，其诉讼并未被实体受理。</w:t>
      </w:r>
      <w:r w:rsidRPr="002C143E">
        <w:rPr>
          <w:rFonts w:ascii="宋体" w:hAnsi="宋体" w:hint="eastAsia"/>
          <w:sz w:val="24"/>
        </w:rPr>
        <w:t>详见公司于2021年4月3日披露的《大唐电信科技股份有限公司涉及诉讼、仲裁公告》（公告编号：2021-025）</w:t>
      </w:r>
      <w:r w:rsidR="006C613E" w:rsidRPr="002C143E">
        <w:rPr>
          <w:rFonts w:ascii="宋体" w:hAnsi="宋体" w:hint="eastAsia"/>
          <w:sz w:val="24"/>
        </w:rPr>
        <w:t>和2021</w:t>
      </w:r>
      <w:r w:rsidR="006C613E" w:rsidRPr="002C143E">
        <w:rPr>
          <w:rFonts w:ascii="宋体" w:hAnsi="宋体"/>
          <w:sz w:val="24"/>
        </w:rPr>
        <w:t>年</w:t>
      </w:r>
      <w:r w:rsidR="006C613E" w:rsidRPr="002C143E">
        <w:rPr>
          <w:rFonts w:ascii="宋体" w:hAnsi="宋体" w:hint="eastAsia"/>
          <w:sz w:val="24"/>
        </w:rPr>
        <w:t>4</w:t>
      </w:r>
      <w:r w:rsidR="006C613E" w:rsidRPr="002C143E">
        <w:rPr>
          <w:rFonts w:ascii="宋体" w:hAnsi="宋体"/>
          <w:sz w:val="24"/>
        </w:rPr>
        <w:t>月</w:t>
      </w:r>
      <w:r w:rsidR="006C613E" w:rsidRPr="002C143E">
        <w:rPr>
          <w:rFonts w:ascii="宋体" w:hAnsi="宋体" w:hint="eastAsia"/>
          <w:sz w:val="24"/>
        </w:rPr>
        <w:t>16</w:t>
      </w:r>
      <w:r w:rsidR="006C613E" w:rsidRPr="002C143E">
        <w:rPr>
          <w:rFonts w:ascii="宋体" w:hAnsi="宋体"/>
          <w:sz w:val="24"/>
        </w:rPr>
        <w:t>日</w:t>
      </w:r>
      <w:r w:rsidR="006C613E" w:rsidRPr="002C143E">
        <w:rPr>
          <w:rFonts w:ascii="宋体" w:hAnsi="宋体" w:hint="eastAsia"/>
          <w:sz w:val="24"/>
        </w:rPr>
        <w:t>《大唐电信科技股份有限公司关于公司下属子公司重大诉讼进展的公告》（公告编号： 2021-029）。</w:t>
      </w:r>
    </w:p>
    <w:p w14:paraId="403DAF7F" w14:textId="066978A4" w:rsidR="009A0D91" w:rsidRPr="009E2CAA" w:rsidRDefault="00F54586" w:rsidP="00BC1F5D">
      <w:pPr>
        <w:adjustRightInd w:val="0"/>
        <w:snapToGrid w:val="0"/>
        <w:spacing w:beforeLines="50" w:before="156" w:afterLines="50" w:after="156" w:line="360" w:lineRule="auto"/>
        <w:ind w:leftChars="50" w:left="105" w:rightChars="50" w:right="105" w:firstLineChars="200" w:firstLine="480"/>
        <w:rPr>
          <w:rFonts w:ascii="宋体" w:hAnsi="宋体"/>
          <w:sz w:val="24"/>
        </w:rPr>
      </w:pPr>
      <w:r>
        <w:rPr>
          <w:rFonts w:ascii="宋体" w:hAnsi="宋体" w:hint="eastAsia"/>
          <w:sz w:val="24"/>
        </w:rPr>
        <w:t>现公司收到</w:t>
      </w:r>
      <w:r w:rsidR="009E2CAA" w:rsidRPr="00051109">
        <w:rPr>
          <w:rFonts w:ascii="宋体" w:hAnsi="宋体" w:hint="eastAsia"/>
          <w:sz w:val="24"/>
        </w:rPr>
        <w:t>北京市第一中级人民法院送达</w:t>
      </w:r>
      <w:r>
        <w:rPr>
          <w:rFonts w:ascii="宋体" w:hAnsi="宋体" w:hint="eastAsia"/>
          <w:sz w:val="24"/>
        </w:rPr>
        <w:t>的</w:t>
      </w:r>
      <w:r w:rsidR="009E2CAA" w:rsidRPr="00051109">
        <w:rPr>
          <w:rFonts w:ascii="宋体" w:hAnsi="宋体" w:hint="eastAsia"/>
          <w:sz w:val="24"/>
        </w:rPr>
        <w:t>终审民事裁定书，法院认为，神州泰岳的上诉请求不能成立，一审裁定认定事实清楚、适用法律正确，故裁定驳回上诉，维持原裁定。</w:t>
      </w:r>
    </w:p>
    <w:p w14:paraId="19827FD8" w14:textId="77777777" w:rsidR="00BD643B" w:rsidRPr="00CC55FA" w:rsidRDefault="00BD643B" w:rsidP="00BD643B">
      <w:pPr>
        <w:adjustRightInd w:val="0"/>
        <w:snapToGrid w:val="0"/>
        <w:spacing w:beforeLines="50" w:before="156" w:afterLines="50" w:after="156" w:line="360" w:lineRule="auto"/>
        <w:ind w:leftChars="50" w:left="105" w:rightChars="50" w:right="105" w:firstLineChars="250" w:firstLine="600"/>
        <w:rPr>
          <w:rFonts w:ascii="宋体" w:hAnsi="宋体"/>
          <w:sz w:val="24"/>
        </w:rPr>
      </w:pPr>
      <w:r w:rsidRPr="00CC55FA">
        <w:rPr>
          <w:rFonts w:ascii="宋体" w:hAnsi="宋体" w:hint="eastAsia"/>
          <w:sz w:val="24"/>
        </w:rPr>
        <w:t>特此公告。</w:t>
      </w:r>
    </w:p>
    <w:p w14:paraId="3E6F39BE" w14:textId="77777777" w:rsidR="00BD643B" w:rsidRPr="00CC55FA" w:rsidRDefault="00BD643B" w:rsidP="00BD643B">
      <w:pPr>
        <w:adjustRightInd w:val="0"/>
        <w:snapToGrid w:val="0"/>
        <w:spacing w:beforeLines="50" w:before="156" w:afterLines="50" w:after="156" w:line="360" w:lineRule="auto"/>
        <w:ind w:leftChars="50" w:left="105" w:rightChars="50" w:right="105"/>
        <w:jc w:val="right"/>
        <w:rPr>
          <w:rFonts w:ascii="宋体" w:hAnsi="宋体"/>
          <w:sz w:val="24"/>
        </w:rPr>
      </w:pPr>
      <w:r w:rsidRPr="00CC55FA">
        <w:rPr>
          <w:rFonts w:ascii="宋体" w:hAnsi="宋体" w:hint="eastAsia"/>
          <w:sz w:val="24"/>
        </w:rPr>
        <w:t>大唐电信科技股份有限公司董事会</w:t>
      </w:r>
    </w:p>
    <w:p w14:paraId="416441E2" w14:textId="7373C8EB" w:rsidR="00EA0742" w:rsidRPr="00BC1F5D" w:rsidRDefault="00BD643B" w:rsidP="00BC1F5D">
      <w:pPr>
        <w:adjustRightInd w:val="0"/>
        <w:snapToGrid w:val="0"/>
        <w:spacing w:beforeLines="50" w:before="156" w:afterLines="50" w:after="156" w:line="360" w:lineRule="auto"/>
        <w:ind w:leftChars="50" w:left="105" w:rightChars="50" w:right="105"/>
        <w:jc w:val="right"/>
        <w:rPr>
          <w:rFonts w:ascii="宋体" w:hAnsi="宋体"/>
          <w:sz w:val="24"/>
        </w:rPr>
      </w:pPr>
      <w:r w:rsidRPr="00CC55FA">
        <w:rPr>
          <w:rFonts w:ascii="宋体" w:hAnsi="宋体" w:hint="eastAsia"/>
          <w:sz w:val="24"/>
        </w:rPr>
        <w:t xml:space="preserve">  </w:t>
      </w:r>
      <w:r w:rsidR="00EB032D" w:rsidRPr="00416024">
        <w:rPr>
          <w:rFonts w:ascii="宋体" w:hAnsi="宋体" w:hint="eastAsia"/>
          <w:sz w:val="24"/>
        </w:rPr>
        <w:t>2021</w:t>
      </w:r>
      <w:r w:rsidRPr="00416024">
        <w:rPr>
          <w:rFonts w:ascii="宋体" w:hAnsi="宋体"/>
          <w:sz w:val="24"/>
        </w:rPr>
        <w:t>年</w:t>
      </w:r>
      <w:r w:rsidR="00BC1F5D">
        <w:rPr>
          <w:rFonts w:ascii="宋体" w:hAnsi="宋体" w:hint="eastAsia"/>
          <w:sz w:val="24"/>
        </w:rPr>
        <w:t>7</w:t>
      </w:r>
      <w:r w:rsidRPr="00416024">
        <w:rPr>
          <w:rFonts w:ascii="宋体" w:hAnsi="宋体"/>
          <w:sz w:val="24"/>
        </w:rPr>
        <w:t>月</w:t>
      </w:r>
      <w:r w:rsidR="004D466D">
        <w:rPr>
          <w:rFonts w:ascii="宋体" w:hAnsi="宋体" w:hint="eastAsia"/>
          <w:sz w:val="24"/>
        </w:rPr>
        <w:t>6</w:t>
      </w:r>
      <w:r w:rsidRPr="00416024">
        <w:rPr>
          <w:rFonts w:ascii="宋体" w:hAnsi="宋体"/>
          <w:sz w:val="24"/>
        </w:rPr>
        <w:t>日</w:t>
      </w:r>
    </w:p>
    <w:sectPr w:rsidR="00EA0742" w:rsidRPr="00BC1F5D" w:rsidSect="00DB0C3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585D408" w14:textId="77777777" w:rsidR="00A5030C" w:rsidRDefault="00A5030C" w:rsidP="00304AAB">
      <w:r>
        <w:separator/>
      </w:r>
    </w:p>
  </w:endnote>
  <w:endnote w:type="continuationSeparator" w:id="0">
    <w:p w14:paraId="376F00DB" w14:textId="77777777" w:rsidR="00A5030C" w:rsidRDefault="00A5030C" w:rsidP="00304A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5394B82" w14:textId="77777777" w:rsidR="00A5030C" w:rsidRDefault="00A5030C" w:rsidP="00304AAB">
      <w:r>
        <w:separator/>
      </w:r>
    </w:p>
  </w:footnote>
  <w:footnote w:type="continuationSeparator" w:id="0">
    <w:p w14:paraId="278EC080" w14:textId="77777777" w:rsidR="00A5030C" w:rsidRDefault="00A5030C" w:rsidP="00304AA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B1DCA"/>
    <w:multiLevelType w:val="hybridMultilevel"/>
    <w:tmpl w:val="2604E442"/>
    <w:lvl w:ilvl="0" w:tplc="04090001">
      <w:start w:val="1"/>
      <w:numFmt w:val="bullet"/>
      <w:lvlText w:val=""/>
      <w:lvlJc w:val="left"/>
      <w:pPr>
        <w:ind w:left="846"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nsid w:val="75935641"/>
    <w:multiLevelType w:val="hybridMultilevel"/>
    <w:tmpl w:val="AAA86FE8"/>
    <w:lvl w:ilvl="0" w:tplc="04090001">
      <w:start w:val="1"/>
      <w:numFmt w:val="bullet"/>
      <w:lvlText w:val=""/>
      <w:lvlJc w:val="left"/>
      <w:pPr>
        <w:ind w:left="846"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zhangjinb      张瑾（大唐电信／总部职能／董事会办公室／信息披露部）">
    <w15:presenceInfo w15:providerId="AD" w15:userId="S-1-5-21-1292428093-1965331169-839522115-2422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643B"/>
    <w:rsid w:val="00012D17"/>
    <w:rsid w:val="0002363C"/>
    <w:rsid w:val="00051109"/>
    <w:rsid w:val="000563A4"/>
    <w:rsid w:val="00056B4C"/>
    <w:rsid w:val="000C6367"/>
    <w:rsid w:val="0012282A"/>
    <w:rsid w:val="00134594"/>
    <w:rsid w:val="00147897"/>
    <w:rsid w:val="001515F9"/>
    <w:rsid w:val="001732F9"/>
    <w:rsid w:val="00176165"/>
    <w:rsid w:val="001940E2"/>
    <w:rsid w:val="001C61D3"/>
    <w:rsid w:val="001D0D06"/>
    <w:rsid w:val="00203D06"/>
    <w:rsid w:val="002160C6"/>
    <w:rsid w:val="0021631D"/>
    <w:rsid w:val="0023635B"/>
    <w:rsid w:val="00240E70"/>
    <w:rsid w:val="002427C6"/>
    <w:rsid w:val="0024799E"/>
    <w:rsid w:val="00262E8B"/>
    <w:rsid w:val="002737BA"/>
    <w:rsid w:val="00284FAB"/>
    <w:rsid w:val="002B572B"/>
    <w:rsid w:val="002C143E"/>
    <w:rsid w:val="002C1B85"/>
    <w:rsid w:val="002E5D08"/>
    <w:rsid w:val="002E7DE0"/>
    <w:rsid w:val="002F1D8C"/>
    <w:rsid w:val="0030273F"/>
    <w:rsid w:val="00304AAB"/>
    <w:rsid w:val="00332CED"/>
    <w:rsid w:val="0033533F"/>
    <w:rsid w:val="003660C0"/>
    <w:rsid w:val="0037105D"/>
    <w:rsid w:val="003857A5"/>
    <w:rsid w:val="003A4ACE"/>
    <w:rsid w:val="003A7C25"/>
    <w:rsid w:val="003B3B2B"/>
    <w:rsid w:val="003D3704"/>
    <w:rsid w:val="003D77E9"/>
    <w:rsid w:val="003F5974"/>
    <w:rsid w:val="00416024"/>
    <w:rsid w:val="00424A18"/>
    <w:rsid w:val="004337B2"/>
    <w:rsid w:val="00437A26"/>
    <w:rsid w:val="00475BE5"/>
    <w:rsid w:val="0048087A"/>
    <w:rsid w:val="004857FC"/>
    <w:rsid w:val="00490AB6"/>
    <w:rsid w:val="004A3839"/>
    <w:rsid w:val="004C0270"/>
    <w:rsid w:val="004C42DE"/>
    <w:rsid w:val="004C6F61"/>
    <w:rsid w:val="004D466D"/>
    <w:rsid w:val="004D6BD3"/>
    <w:rsid w:val="004D7214"/>
    <w:rsid w:val="004F4276"/>
    <w:rsid w:val="004F7EC2"/>
    <w:rsid w:val="00512D78"/>
    <w:rsid w:val="005201F4"/>
    <w:rsid w:val="00524826"/>
    <w:rsid w:val="00544F9B"/>
    <w:rsid w:val="00570AE0"/>
    <w:rsid w:val="00576A9A"/>
    <w:rsid w:val="005815B7"/>
    <w:rsid w:val="005834C3"/>
    <w:rsid w:val="005E0957"/>
    <w:rsid w:val="005F314F"/>
    <w:rsid w:val="005F4ED1"/>
    <w:rsid w:val="00601195"/>
    <w:rsid w:val="006048BB"/>
    <w:rsid w:val="006209C0"/>
    <w:rsid w:val="00630871"/>
    <w:rsid w:val="00631E82"/>
    <w:rsid w:val="0063254C"/>
    <w:rsid w:val="00654FB2"/>
    <w:rsid w:val="00656088"/>
    <w:rsid w:val="00682FB6"/>
    <w:rsid w:val="006A4476"/>
    <w:rsid w:val="006C613E"/>
    <w:rsid w:val="006C7A68"/>
    <w:rsid w:val="006D0972"/>
    <w:rsid w:val="006E7217"/>
    <w:rsid w:val="006F2C9B"/>
    <w:rsid w:val="006F370D"/>
    <w:rsid w:val="006F6F9B"/>
    <w:rsid w:val="007072D0"/>
    <w:rsid w:val="00732E82"/>
    <w:rsid w:val="007766D5"/>
    <w:rsid w:val="00782D19"/>
    <w:rsid w:val="007872EF"/>
    <w:rsid w:val="00795ADB"/>
    <w:rsid w:val="007A56B0"/>
    <w:rsid w:val="007B4BDA"/>
    <w:rsid w:val="007D11E3"/>
    <w:rsid w:val="007F33E7"/>
    <w:rsid w:val="008501DB"/>
    <w:rsid w:val="008552F0"/>
    <w:rsid w:val="00870C32"/>
    <w:rsid w:val="008774F0"/>
    <w:rsid w:val="00877AD8"/>
    <w:rsid w:val="00895445"/>
    <w:rsid w:val="008B49D5"/>
    <w:rsid w:val="008F4954"/>
    <w:rsid w:val="00917400"/>
    <w:rsid w:val="00952E41"/>
    <w:rsid w:val="00965062"/>
    <w:rsid w:val="009762CB"/>
    <w:rsid w:val="0099323A"/>
    <w:rsid w:val="009A0D91"/>
    <w:rsid w:val="009A7E6B"/>
    <w:rsid w:val="009C2B6B"/>
    <w:rsid w:val="009C3C9B"/>
    <w:rsid w:val="009D0738"/>
    <w:rsid w:val="009D7CE0"/>
    <w:rsid w:val="009E2CAA"/>
    <w:rsid w:val="009F6E95"/>
    <w:rsid w:val="00A2717C"/>
    <w:rsid w:val="00A326C4"/>
    <w:rsid w:val="00A5030C"/>
    <w:rsid w:val="00A72D2F"/>
    <w:rsid w:val="00A85988"/>
    <w:rsid w:val="00A97647"/>
    <w:rsid w:val="00AA1D4A"/>
    <w:rsid w:val="00AC7F4C"/>
    <w:rsid w:val="00B133E0"/>
    <w:rsid w:val="00B15516"/>
    <w:rsid w:val="00B5213B"/>
    <w:rsid w:val="00B534D3"/>
    <w:rsid w:val="00B84426"/>
    <w:rsid w:val="00B93FAC"/>
    <w:rsid w:val="00BA02A8"/>
    <w:rsid w:val="00BA79FE"/>
    <w:rsid w:val="00BB5A96"/>
    <w:rsid w:val="00BC1F5D"/>
    <w:rsid w:val="00BC3AF3"/>
    <w:rsid w:val="00BD643B"/>
    <w:rsid w:val="00BE25A6"/>
    <w:rsid w:val="00C01A17"/>
    <w:rsid w:val="00C33A37"/>
    <w:rsid w:val="00C36462"/>
    <w:rsid w:val="00C42DB4"/>
    <w:rsid w:val="00C47C67"/>
    <w:rsid w:val="00C52E0C"/>
    <w:rsid w:val="00C56BD7"/>
    <w:rsid w:val="00CA09DF"/>
    <w:rsid w:val="00CC55FA"/>
    <w:rsid w:val="00CE7DA1"/>
    <w:rsid w:val="00CF1CE7"/>
    <w:rsid w:val="00CF2368"/>
    <w:rsid w:val="00D05671"/>
    <w:rsid w:val="00D20AB3"/>
    <w:rsid w:val="00D226F3"/>
    <w:rsid w:val="00D3504D"/>
    <w:rsid w:val="00D418AA"/>
    <w:rsid w:val="00D6365C"/>
    <w:rsid w:val="00D76349"/>
    <w:rsid w:val="00D80EBD"/>
    <w:rsid w:val="00D963CA"/>
    <w:rsid w:val="00DA064F"/>
    <w:rsid w:val="00DA66E3"/>
    <w:rsid w:val="00DA750E"/>
    <w:rsid w:val="00DB2C41"/>
    <w:rsid w:val="00DC7CA6"/>
    <w:rsid w:val="00E046D7"/>
    <w:rsid w:val="00E41499"/>
    <w:rsid w:val="00E713F1"/>
    <w:rsid w:val="00EA0742"/>
    <w:rsid w:val="00EA2302"/>
    <w:rsid w:val="00EB032D"/>
    <w:rsid w:val="00EB39FD"/>
    <w:rsid w:val="00EC1833"/>
    <w:rsid w:val="00EC51C1"/>
    <w:rsid w:val="00ED5CA6"/>
    <w:rsid w:val="00F14F60"/>
    <w:rsid w:val="00F3424C"/>
    <w:rsid w:val="00F474D9"/>
    <w:rsid w:val="00F54586"/>
    <w:rsid w:val="00F553CD"/>
    <w:rsid w:val="00F61B2E"/>
    <w:rsid w:val="00F6428B"/>
    <w:rsid w:val="00F770F9"/>
    <w:rsid w:val="00F854EC"/>
    <w:rsid w:val="00F87367"/>
    <w:rsid w:val="00F87FE5"/>
    <w:rsid w:val="00F979B5"/>
    <w:rsid w:val="00FB0AEA"/>
    <w:rsid w:val="00FB1388"/>
    <w:rsid w:val="00FB636A"/>
    <w:rsid w:val="00FB6D7B"/>
    <w:rsid w:val="00FC1A39"/>
    <w:rsid w:val="00FC6CC4"/>
    <w:rsid w:val="00FD44AA"/>
    <w:rsid w:val="00FE7443"/>
    <w:rsid w:val="00FF59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69C0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643B"/>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3660C0"/>
    <w:rPr>
      <w:sz w:val="21"/>
      <w:szCs w:val="21"/>
    </w:rPr>
  </w:style>
  <w:style w:type="paragraph" w:styleId="a4">
    <w:name w:val="annotation text"/>
    <w:basedOn w:val="a"/>
    <w:link w:val="Char"/>
    <w:uiPriority w:val="99"/>
    <w:semiHidden/>
    <w:unhideWhenUsed/>
    <w:rsid w:val="003660C0"/>
    <w:pPr>
      <w:jc w:val="left"/>
    </w:pPr>
  </w:style>
  <w:style w:type="character" w:customStyle="1" w:styleId="Char">
    <w:name w:val="批注文字 Char"/>
    <w:basedOn w:val="a0"/>
    <w:link w:val="a4"/>
    <w:uiPriority w:val="99"/>
    <w:semiHidden/>
    <w:rsid w:val="003660C0"/>
    <w:rPr>
      <w:rFonts w:ascii="Times New Roman" w:eastAsia="宋体" w:hAnsi="Times New Roman" w:cs="Times New Roman"/>
      <w:szCs w:val="24"/>
    </w:rPr>
  </w:style>
  <w:style w:type="paragraph" w:styleId="a5">
    <w:name w:val="annotation subject"/>
    <w:basedOn w:val="a4"/>
    <w:next w:val="a4"/>
    <w:link w:val="Char0"/>
    <w:uiPriority w:val="99"/>
    <w:semiHidden/>
    <w:unhideWhenUsed/>
    <w:rsid w:val="003660C0"/>
    <w:rPr>
      <w:b/>
      <w:bCs/>
    </w:rPr>
  </w:style>
  <w:style w:type="character" w:customStyle="1" w:styleId="Char0">
    <w:name w:val="批注主题 Char"/>
    <w:basedOn w:val="Char"/>
    <w:link w:val="a5"/>
    <w:uiPriority w:val="99"/>
    <w:semiHidden/>
    <w:rsid w:val="003660C0"/>
    <w:rPr>
      <w:rFonts w:ascii="Times New Roman" w:eastAsia="宋体" w:hAnsi="Times New Roman" w:cs="Times New Roman"/>
      <w:b/>
      <w:bCs/>
      <w:szCs w:val="24"/>
    </w:rPr>
  </w:style>
  <w:style w:type="paragraph" w:styleId="a6">
    <w:name w:val="Balloon Text"/>
    <w:basedOn w:val="a"/>
    <w:link w:val="Char1"/>
    <w:uiPriority w:val="99"/>
    <w:semiHidden/>
    <w:unhideWhenUsed/>
    <w:rsid w:val="003660C0"/>
    <w:rPr>
      <w:sz w:val="18"/>
      <w:szCs w:val="18"/>
    </w:rPr>
  </w:style>
  <w:style w:type="character" w:customStyle="1" w:styleId="Char1">
    <w:name w:val="批注框文本 Char"/>
    <w:basedOn w:val="a0"/>
    <w:link w:val="a6"/>
    <w:uiPriority w:val="99"/>
    <w:semiHidden/>
    <w:rsid w:val="003660C0"/>
    <w:rPr>
      <w:rFonts w:ascii="Times New Roman" w:eastAsia="宋体" w:hAnsi="Times New Roman" w:cs="Times New Roman"/>
      <w:sz w:val="18"/>
      <w:szCs w:val="18"/>
    </w:rPr>
  </w:style>
  <w:style w:type="paragraph" w:styleId="a7">
    <w:name w:val="header"/>
    <w:basedOn w:val="a"/>
    <w:link w:val="Char2"/>
    <w:uiPriority w:val="99"/>
    <w:unhideWhenUsed/>
    <w:rsid w:val="00304AAB"/>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0"/>
    <w:link w:val="a7"/>
    <w:uiPriority w:val="99"/>
    <w:rsid w:val="00304AAB"/>
    <w:rPr>
      <w:rFonts w:ascii="Times New Roman" w:eastAsia="宋体" w:hAnsi="Times New Roman" w:cs="Times New Roman"/>
      <w:sz w:val="18"/>
      <w:szCs w:val="18"/>
    </w:rPr>
  </w:style>
  <w:style w:type="paragraph" w:styleId="a8">
    <w:name w:val="footer"/>
    <w:basedOn w:val="a"/>
    <w:link w:val="Char3"/>
    <w:uiPriority w:val="99"/>
    <w:unhideWhenUsed/>
    <w:rsid w:val="00304AAB"/>
    <w:pPr>
      <w:tabs>
        <w:tab w:val="center" w:pos="4153"/>
        <w:tab w:val="right" w:pos="8306"/>
      </w:tabs>
      <w:snapToGrid w:val="0"/>
      <w:jc w:val="left"/>
    </w:pPr>
    <w:rPr>
      <w:sz w:val="18"/>
      <w:szCs w:val="18"/>
    </w:rPr>
  </w:style>
  <w:style w:type="character" w:customStyle="1" w:styleId="Char3">
    <w:name w:val="页脚 Char"/>
    <w:basedOn w:val="a0"/>
    <w:link w:val="a8"/>
    <w:uiPriority w:val="99"/>
    <w:rsid w:val="00304AAB"/>
    <w:rPr>
      <w:rFonts w:ascii="Times New Roman" w:eastAsia="宋体" w:hAnsi="Times New Roman" w:cs="Times New Roman"/>
      <w:sz w:val="18"/>
      <w:szCs w:val="18"/>
    </w:rPr>
  </w:style>
  <w:style w:type="paragraph" w:styleId="a9">
    <w:name w:val="List Paragraph"/>
    <w:basedOn w:val="a"/>
    <w:uiPriority w:val="34"/>
    <w:qFormat/>
    <w:rsid w:val="00B534D3"/>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643B"/>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3660C0"/>
    <w:rPr>
      <w:sz w:val="21"/>
      <w:szCs w:val="21"/>
    </w:rPr>
  </w:style>
  <w:style w:type="paragraph" w:styleId="a4">
    <w:name w:val="annotation text"/>
    <w:basedOn w:val="a"/>
    <w:link w:val="Char"/>
    <w:uiPriority w:val="99"/>
    <w:semiHidden/>
    <w:unhideWhenUsed/>
    <w:rsid w:val="003660C0"/>
    <w:pPr>
      <w:jc w:val="left"/>
    </w:pPr>
  </w:style>
  <w:style w:type="character" w:customStyle="1" w:styleId="Char">
    <w:name w:val="批注文字 Char"/>
    <w:basedOn w:val="a0"/>
    <w:link w:val="a4"/>
    <w:uiPriority w:val="99"/>
    <w:semiHidden/>
    <w:rsid w:val="003660C0"/>
    <w:rPr>
      <w:rFonts w:ascii="Times New Roman" w:eastAsia="宋体" w:hAnsi="Times New Roman" w:cs="Times New Roman"/>
      <w:szCs w:val="24"/>
    </w:rPr>
  </w:style>
  <w:style w:type="paragraph" w:styleId="a5">
    <w:name w:val="annotation subject"/>
    <w:basedOn w:val="a4"/>
    <w:next w:val="a4"/>
    <w:link w:val="Char0"/>
    <w:uiPriority w:val="99"/>
    <w:semiHidden/>
    <w:unhideWhenUsed/>
    <w:rsid w:val="003660C0"/>
    <w:rPr>
      <w:b/>
      <w:bCs/>
    </w:rPr>
  </w:style>
  <w:style w:type="character" w:customStyle="1" w:styleId="Char0">
    <w:name w:val="批注主题 Char"/>
    <w:basedOn w:val="Char"/>
    <w:link w:val="a5"/>
    <w:uiPriority w:val="99"/>
    <w:semiHidden/>
    <w:rsid w:val="003660C0"/>
    <w:rPr>
      <w:rFonts w:ascii="Times New Roman" w:eastAsia="宋体" w:hAnsi="Times New Roman" w:cs="Times New Roman"/>
      <w:b/>
      <w:bCs/>
      <w:szCs w:val="24"/>
    </w:rPr>
  </w:style>
  <w:style w:type="paragraph" w:styleId="a6">
    <w:name w:val="Balloon Text"/>
    <w:basedOn w:val="a"/>
    <w:link w:val="Char1"/>
    <w:uiPriority w:val="99"/>
    <w:semiHidden/>
    <w:unhideWhenUsed/>
    <w:rsid w:val="003660C0"/>
    <w:rPr>
      <w:sz w:val="18"/>
      <w:szCs w:val="18"/>
    </w:rPr>
  </w:style>
  <w:style w:type="character" w:customStyle="1" w:styleId="Char1">
    <w:name w:val="批注框文本 Char"/>
    <w:basedOn w:val="a0"/>
    <w:link w:val="a6"/>
    <w:uiPriority w:val="99"/>
    <w:semiHidden/>
    <w:rsid w:val="003660C0"/>
    <w:rPr>
      <w:rFonts w:ascii="Times New Roman" w:eastAsia="宋体" w:hAnsi="Times New Roman" w:cs="Times New Roman"/>
      <w:sz w:val="18"/>
      <w:szCs w:val="18"/>
    </w:rPr>
  </w:style>
  <w:style w:type="paragraph" w:styleId="a7">
    <w:name w:val="header"/>
    <w:basedOn w:val="a"/>
    <w:link w:val="Char2"/>
    <w:uiPriority w:val="99"/>
    <w:unhideWhenUsed/>
    <w:rsid w:val="00304AAB"/>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0"/>
    <w:link w:val="a7"/>
    <w:uiPriority w:val="99"/>
    <w:rsid w:val="00304AAB"/>
    <w:rPr>
      <w:rFonts w:ascii="Times New Roman" w:eastAsia="宋体" w:hAnsi="Times New Roman" w:cs="Times New Roman"/>
      <w:sz w:val="18"/>
      <w:szCs w:val="18"/>
    </w:rPr>
  </w:style>
  <w:style w:type="paragraph" w:styleId="a8">
    <w:name w:val="footer"/>
    <w:basedOn w:val="a"/>
    <w:link w:val="Char3"/>
    <w:uiPriority w:val="99"/>
    <w:unhideWhenUsed/>
    <w:rsid w:val="00304AAB"/>
    <w:pPr>
      <w:tabs>
        <w:tab w:val="center" w:pos="4153"/>
        <w:tab w:val="right" w:pos="8306"/>
      </w:tabs>
      <w:snapToGrid w:val="0"/>
      <w:jc w:val="left"/>
    </w:pPr>
    <w:rPr>
      <w:sz w:val="18"/>
      <w:szCs w:val="18"/>
    </w:rPr>
  </w:style>
  <w:style w:type="character" w:customStyle="1" w:styleId="Char3">
    <w:name w:val="页脚 Char"/>
    <w:basedOn w:val="a0"/>
    <w:link w:val="a8"/>
    <w:uiPriority w:val="99"/>
    <w:rsid w:val="00304AAB"/>
    <w:rPr>
      <w:rFonts w:ascii="Times New Roman" w:eastAsia="宋体" w:hAnsi="Times New Roman" w:cs="Times New Roman"/>
      <w:sz w:val="18"/>
      <w:szCs w:val="18"/>
    </w:rPr>
  </w:style>
  <w:style w:type="paragraph" w:styleId="a9">
    <w:name w:val="List Paragraph"/>
    <w:basedOn w:val="a"/>
    <w:uiPriority w:val="34"/>
    <w:qFormat/>
    <w:rsid w:val="00B534D3"/>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3525249">
      <w:bodyDiv w:val="1"/>
      <w:marLeft w:val="0"/>
      <w:marRight w:val="0"/>
      <w:marTop w:val="0"/>
      <w:marBottom w:val="0"/>
      <w:divBdr>
        <w:top w:val="none" w:sz="0" w:space="0" w:color="auto"/>
        <w:left w:val="none" w:sz="0" w:space="0" w:color="auto"/>
        <w:bottom w:val="none" w:sz="0" w:space="0" w:color="auto"/>
        <w:right w:val="none" w:sz="0" w:space="0" w:color="auto"/>
      </w:divBdr>
    </w:div>
    <w:div w:id="704870230">
      <w:bodyDiv w:val="1"/>
      <w:marLeft w:val="0"/>
      <w:marRight w:val="0"/>
      <w:marTop w:val="0"/>
      <w:marBottom w:val="0"/>
      <w:divBdr>
        <w:top w:val="none" w:sz="0" w:space="0" w:color="auto"/>
        <w:left w:val="none" w:sz="0" w:space="0" w:color="auto"/>
        <w:bottom w:val="none" w:sz="0" w:space="0" w:color="auto"/>
        <w:right w:val="none" w:sz="0" w:space="0" w:color="auto"/>
      </w:divBdr>
    </w:div>
    <w:div w:id="1306856435">
      <w:bodyDiv w:val="1"/>
      <w:marLeft w:val="0"/>
      <w:marRight w:val="0"/>
      <w:marTop w:val="0"/>
      <w:marBottom w:val="0"/>
      <w:divBdr>
        <w:top w:val="none" w:sz="0" w:space="0" w:color="auto"/>
        <w:left w:val="none" w:sz="0" w:space="0" w:color="auto"/>
        <w:bottom w:val="none" w:sz="0" w:space="0" w:color="auto"/>
        <w:right w:val="none" w:sz="0" w:space="0" w:color="auto"/>
      </w:divBdr>
    </w:div>
    <w:div w:id="1522432484">
      <w:bodyDiv w:val="1"/>
      <w:marLeft w:val="0"/>
      <w:marRight w:val="0"/>
      <w:marTop w:val="0"/>
      <w:marBottom w:val="0"/>
      <w:divBdr>
        <w:top w:val="none" w:sz="0" w:space="0" w:color="auto"/>
        <w:left w:val="none" w:sz="0" w:space="0" w:color="auto"/>
        <w:bottom w:val="none" w:sz="0" w:space="0" w:color="auto"/>
        <w:right w:val="none" w:sz="0" w:space="0" w:color="auto"/>
      </w:divBdr>
    </w:div>
    <w:div w:id="1591501102">
      <w:bodyDiv w:val="1"/>
      <w:marLeft w:val="0"/>
      <w:marRight w:val="0"/>
      <w:marTop w:val="0"/>
      <w:marBottom w:val="0"/>
      <w:divBdr>
        <w:top w:val="none" w:sz="0" w:space="0" w:color="auto"/>
        <w:left w:val="none" w:sz="0" w:space="0" w:color="auto"/>
        <w:bottom w:val="none" w:sz="0" w:space="0" w:color="auto"/>
        <w:right w:val="none" w:sz="0" w:space="0" w:color="auto"/>
      </w:divBdr>
    </w:div>
    <w:div w:id="1619339516">
      <w:bodyDiv w:val="1"/>
      <w:marLeft w:val="0"/>
      <w:marRight w:val="0"/>
      <w:marTop w:val="0"/>
      <w:marBottom w:val="0"/>
      <w:divBdr>
        <w:top w:val="none" w:sz="0" w:space="0" w:color="auto"/>
        <w:left w:val="none" w:sz="0" w:space="0" w:color="auto"/>
        <w:bottom w:val="none" w:sz="0" w:space="0" w:color="auto"/>
        <w:right w:val="none" w:sz="0" w:space="0" w:color="auto"/>
      </w:divBdr>
    </w:div>
    <w:div w:id="1772047759">
      <w:bodyDiv w:val="1"/>
      <w:marLeft w:val="0"/>
      <w:marRight w:val="0"/>
      <w:marTop w:val="0"/>
      <w:marBottom w:val="0"/>
      <w:divBdr>
        <w:top w:val="none" w:sz="0" w:space="0" w:color="auto"/>
        <w:left w:val="none" w:sz="0" w:space="0" w:color="auto"/>
        <w:bottom w:val="none" w:sz="0" w:space="0" w:color="auto"/>
        <w:right w:val="none" w:sz="0" w:space="0" w:color="auto"/>
      </w:divBdr>
    </w:div>
    <w:div w:id="1991251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312</Words>
  <Characters>1780</Characters>
  <Application>Microsoft Office Word</Application>
  <DocSecurity>0</DocSecurity>
  <Lines>14</Lines>
  <Paragraphs>4</Paragraphs>
  <ScaleCrop>false</ScaleCrop>
  <Company/>
  <LinksUpToDate>false</LinksUpToDate>
  <CharactersWithSpaces>2088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B1zhangjin</dc:creator>
  <cp:lastModifiedBy>wangqingyu     王清宇</cp:lastModifiedBy>
  <cp:revision>3</cp:revision>
  <dcterms:created xsi:type="dcterms:W3CDTF">2021-07-05T02:41:00Z</dcterms:created>
  <dcterms:modified xsi:type="dcterms:W3CDTF">2021-07-05T02:45:00Z</dcterms:modified>
</cp:coreProperties>
</file>