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D993E" w14:textId="1024701A" w:rsidR="00BD3166" w:rsidRDefault="00C64679">
      <w:pPr>
        <w:adjustRightInd w:val="0"/>
        <w:snapToGrid w:val="0"/>
        <w:spacing w:beforeLines="50" w:before="156" w:afterLines="50" w:after="156" w:line="360" w:lineRule="auto"/>
        <w:rPr>
          <w:rFonts w:ascii="Times New Roman" w:eastAsia="宋体" w:hAnsi="Times New Roman"/>
          <w:sz w:val="24"/>
        </w:rPr>
      </w:pPr>
      <w:r>
        <w:rPr>
          <w:rFonts w:ascii="Times New Roman" w:eastAsia="宋体" w:hAnsi="Times New Roman"/>
          <w:sz w:val="24"/>
        </w:rPr>
        <w:t>证券代码：</w:t>
      </w:r>
      <w:r>
        <w:rPr>
          <w:rFonts w:ascii="Times New Roman" w:eastAsia="宋体" w:hAnsi="Times New Roman"/>
          <w:sz w:val="24"/>
        </w:rPr>
        <w:t xml:space="preserve">600198          </w:t>
      </w:r>
      <w:r>
        <w:rPr>
          <w:rFonts w:ascii="Times New Roman" w:eastAsia="宋体" w:hAnsi="Times New Roman"/>
          <w:sz w:val="24"/>
        </w:rPr>
        <w:t>证券简称：</w:t>
      </w:r>
      <w:r>
        <w:rPr>
          <w:rFonts w:ascii="Times New Roman" w:eastAsia="宋体" w:hAnsi="Times New Roman" w:hint="eastAsia"/>
          <w:sz w:val="24"/>
        </w:rPr>
        <w:t>*</w:t>
      </w:r>
      <w:r>
        <w:rPr>
          <w:rFonts w:ascii="Times New Roman" w:eastAsia="宋体" w:hAnsi="Times New Roman"/>
          <w:sz w:val="24"/>
        </w:rPr>
        <w:t>ST</w:t>
      </w:r>
      <w:r>
        <w:rPr>
          <w:rFonts w:ascii="Times New Roman" w:eastAsia="宋体" w:hAnsi="Times New Roman"/>
          <w:kern w:val="0"/>
          <w:sz w:val="24"/>
        </w:rPr>
        <w:t>大唐</w:t>
      </w:r>
      <w:r>
        <w:rPr>
          <w:rFonts w:ascii="Times New Roman" w:eastAsia="宋体" w:hAnsi="Times New Roman"/>
          <w:sz w:val="24"/>
        </w:rPr>
        <w:t xml:space="preserve">       </w:t>
      </w:r>
      <w:r>
        <w:rPr>
          <w:rFonts w:ascii="Times New Roman" w:eastAsia="宋体" w:hAnsi="Times New Roman"/>
          <w:sz w:val="24"/>
        </w:rPr>
        <w:t>公告编号：</w:t>
      </w:r>
      <w:r>
        <w:rPr>
          <w:rFonts w:ascii="Times New Roman" w:eastAsia="宋体" w:hAnsi="Times New Roman"/>
          <w:sz w:val="24"/>
        </w:rPr>
        <w:t>2021-</w:t>
      </w:r>
      <w:r w:rsidR="00AF5A0C">
        <w:rPr>
          <w:rFonts w:ascii="Times New Roman" w:eastAsia="宋体" w:hAnsi="Times New Roman" w:hint="eastAsia"/>
          <w:sz w:val="24"/>
        </w:rPr>
        <w:t>077</w:t>
      </w:r>
    </w:p>
    <w:p w14:paraId="103CC92D" w14:textId="77777777" w:rsidR="00BD3166" w:rsidRDefault="00C64679">
      <w:pPr>
        <w:adjustRightInd w:val="0"/>
        <w:snapToGrid w:val="0"/>
        <w:spacing w:line="360" w:lineRule="auto"/>
        <w:jc w:val="center"/>
        <w:rPr>
          <w:rFonts w:ascii="黑体" w:eastAsia="黑体" w:hAnsi="黑体"/>
          <w:b/>
          <w:color w:val="FF0000"/>
          <w:sz w:val="36"/>
          <w:szCs w:val="36"/>
        </w:rPr>
      </w:pPr>
      <w:bookmarkStart w:id="0" w:name="_Hlk22212179"/>
      <w:r>
        <w:rPr>
          <w:rFonts w:ascii="黑体" w:eastAsia="黑体" w:hAnsi="黑体" w:hint="eastAsia"/>
          <w:b/>
          <w:color w:val="FF0000"/>
          <w:sz w:val="36"/>
          <w:szCs w:val="36"/>
        </w:rPr>
        <w:t>大唐电信科技股份有限公司</w:t>
      </w:r>
    </w:p>
    <w:p w14:paraId="06FE7B2C" w14:textId="77777777" w:rsidR="00BD3166" w:rsidRDefault="00C64679">
      <w:pPr>
        <w:adjustRightInd w:val="0"/>
        <w:snapToGrid w:val="0"/>
        <w:spacing w:line="360" w:lineRule="auto"/>
        <w:jc w:val="center"/>
        <w:rPr>
          <w:rFonts w:ascii="黑体" w:eastAsia="黑体" w:hAnsi="黑体"/>
          <w:b/>
          <w:color w:val="FF0000"/>
          <w:sz w:val="36"/>
          <w:szCs w:val="36"/>
        </w:rPr>
      </w:pPr>
      <w:r>
        <w:rPr>
          <w:rFonts w:ascii="黑体" w:eastAsia="黑体" w:hAnsi="黑体" w:hint="eastAsia"/>
          <w:b/>
          <w:color w:val="FF0000"/>
          <w:sz w:val="36"/>
          <w:szCs w:val="36"/>
        </w:rPr>
        <w:t>关于上海证券交易所对公司控股子公司增资之重大资产重组报告书（草案）信息披露问询函的回复</w:t>
      </w:r>
    </w:p>
    <w:p w14:paraId="6BC806D2" w14:textId="77777777" w:rsidR="00BD3166" w:rsidRDefault="00C64679">
      <w:pPr>
        <w:adjustRightInd w:val="0"/>
        <w:snapToGrid w:val="0"/>
        <w:spacing w:line="360" w:lineRule="auto"/>
        <w:jc w:val="center"/>
        <w:rPr>
          <w:rFonts w:ascii="黑体" w:eastAsia="黑体" w:hAnsi="黑体"/>
          <w:b/>
          <w:color w:val="FF0000"/>
          <w:sz w:val="36"/>
          <w:szCs w:val="36"/>
        </w:rPr>
      </w:pPr>
      <w:r>
        <w:rPr>
          <w:rFonts w:ascii="黑体" w:eastAsia="黑体" w:hAnsi="黑体" w:hint="eastAsia"/>
          <w:b/>
          <w:color w:val="FF0000"/>
          <w:sz w:val="36"/>
          <w:szCs w:val="36"/>
        </w:rPr>
        <w:t>公告</w:t>
      </w:r>
      <w:bookmarkEnd w:id="0"/>
    </w:p>
    <w:p w14:paraId="73BA9D33" w14:textId="77777777" w:rsidR="00BD3166" w:rsidRDefault="00C64679">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line="360" w:lineRule="auto"/>
        <w:ind w:firstLineChars="200" w:firstLine="480"/>
        <w:rPr>
          <w:rFonts w:ascii="Times New Roman" w:eastAsia="宋体" w:hAnsi="Times New Roman"/>
          <w:color w:val="000000"/>
          <w:sz w:val="24"/>
        </w:rPr>
      </w:pPr>
      <w:r>
        <w:rPr>
          <w:rFonts w:ascii="Times New Roman" w:eastAsia="宋体" w:hAnsi="Times New Roman" w:hint="eastAsia"/>
          <w:color w:val="000000"/>
          <w:sz w:val="24"/>
        </w:rPr>
        <w:t>本公司董事会及全体董事保证本公告内容不存在任何虚假记载、误导性陈述或者重大遗漏，并对其内容的真实性、准确性和完整性承担个别及连带责任。</w:t>
      </w:r>
    </w:p>
    <w:p w14:paraId="592D918E" w14:textId="77777777" w:rsidR="00BD3166" w:rsidRDefault="00BD3166">
      <w:pPr>
        <w:autoSpaceDE w:val="0"/>
        <w:autoSpaceDN w:val="0"/>
        <w:adjustRightInd w:val="0"/>
        <w:snapToGrid w:val="0"/>
        <w:spacing w:beforeLines="50" w:before="156" w:afterLines="50" w:after="156" w:line="360" w:lineRule="auto"/>
        <w:rPr>
          <w:rFonts w:ascii="宋体" w:hAnsi="宋体"/>
          <w:color w:val="000000"/>
        </w:rPr>
      </w:pPr>
    </w:p>
    <w:p w14:paraId="4435E14F" w14:textId="77777777" w:rsidR="00BD3166" w:rsidRDefault="00C6467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大唐电信科技股份有限公司（以下简称“公司”、“上市公司”或“大唐电信”）于</w:t>
      </w:r>
      <w:r>
        <w:rPr>
          <w:rFonts w:ascii="Times New Roman" w:eastAsia="宋体" w:hAnsi="Times New Roman" w:cs="Times New Roman"/>
          <w:color w:val="000000"/>
          <w:kern w:val="0"/>
          <w:sz w:val="24"/>
          <w:szCs w:val="24"/>
        </w:rPr>
        <w:t>2021</w:t>
      </w:r>
      <w:r>
        <w:rPr>
          <w:rFonts w:ascii="Times New Roman" w:eastAsia="宋体" w:hAnsi="Times New Roman" w:cs="Times New Roman"/>
          <w:color w:val="000000"/>
          <w:kern w:val="0"/>
          <w:sz w:val="24"/>
          <w:szCs w:val="24"/>
        </w:rPr>
        <w:t>年</w:t>
      </w:r>
      <w:r>
        <w:rPr>
          <w:rFonts w:ascii="Times New Roman" w:eastAsia="宋体" w:hAnsi="Times New Roman" w:cs="Times New Roman" w:hint="eastAsia"/>
          <w:color w:val="000000"/>
          <w:kern w:val="0"/>
          <w:sz w:val="24"/>
          <w:szCs w:val="24"/>
        </w:rPr>
        <w:t>6</w:t>
      </w:r>
      <w:r>
        <w:rPr>
          <w:rFonts w:ascii="Times New Roman" w:eastAsia="宋体" w:hAnsi="Times New Roman" w:cs="Times New Roman"/>
          <w:color w:val="000000"/>
          <w:kern w:val="0"/>
          <w:sz w:val="24"/>
          <w:szCs w:val="24"/>
        </w:rPr>
        <w:t>月</w:t>
      </w: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0</w:t>
      </w:r>
      <w:r>
        <w:rPr>
          <w:rFonts w:ascii="Times New Roman" w:eastAsia="宋体" w:hAnsi="Times New Roman" w:cs="Times New Roman"/>
          <w:color w:val="000000"/>
          <w:kern w:val="0"/>
          <w:sz w:val="24"/>
          <w:szCs w:val="24"/>
        </w:rPr>
        <w:t>日收到上海证券交易所《</w:t>
      </w:r>
      <w:r>
        <w:rPr>
          <w:rFonts w:ascii="Times New Roman" w:eastAsia="宋体" w:hAnsi="Times New Roman" w:cs="Times New Roman" w:hint="eastAsia"/>
          <w:color w:val="000000"/>
          <w:kern w:val="0"/>
          <w:sz w:val="24"/>
          <w:szCs w:val="24"/>
        </w:rPr>
        <w:t>关于对大唐电信科技股份有限公司控股子公司增资之重大资产重组报告书（草案）的信息披露问询函</w:t>
      </w:r>
      <w:r>
        <w:rPr>
          <w:rFonts w:ascii="Times New Roman" w:eastAsia="宋体" w:hAnsi="Times New Roman" w:cs="Times New Roman"/>
          <w:color w:val="000000"/>
          <w:kern w:val="0"/>
          <w:sz w:val="24"/>
          <w:szCs w:val="24"/>
        </w:rPr>
        <w:t>》（上证公函</w:t>
      </w: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2021</w:t>
      </w: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0635</w:t>
      </w:r>
      <w:r>
        <w:rPr>
          <w:rFonts w:ascii="Times New Roman" w:eastAsia="宋体" w:hAnsi="Times New Roman" w:cs="Times New Roman"/>
          <w:color w:val="000000"/>
          <w:kern w:val="0"/>
          <w:sz w:val="24"/>
          <w:szCs w:val="24"/>
        </w:rPr>
        <w:t>号</w:t>
      </w:r>
      <w:r>
        <w:rPr>
          <w:rFonts w:ascii="Times New Roman" w:eastAsia="宋体" w:hAnsi="Times New Roman" w:cs="Times New Roman" w:hint="eastAsia"/>
          <w:color w:val="000000"/>
          <w:kern w:val="0"/>
          <w:sz w:val="24"/>
          <w:szCs w:val="24"/>
        </w:rPr>
        <w:t>）（以下简称“《信息披露问询函》”）</w:t>
      </w:r>
      <w:r>
        <w:rPr>
          <w:rFonts w:ascii="Times New Roman" w:eastAsia="宋体" w:hAnsi="Times New Roman" w:cs="Times New Roman"/>
          <w:color w:val="000000"/>
          <w:kern w:val="0"/>
          <w:sz w:val="24"/>
          <w:szCs w:val="24"/>
        </w:rPr>
        <w:t>，公司及相关中介机构对有关问题进行了认真分析，并对《</w:t>
      </w:r>
      <w:r>
        <w:rPr>
          <w:rFonts w:ascii="Times New Roman" w:eastAsia="宋体" w:hAnsi="Times New Roman" w:cs="Times New Roman" w:hint="eastAsia"/>
          <w:color w:val="000000"/>
          <w:kern w:val="0"/>
          <w:sz w:val="24"/>
          <w:szCs w:val="24"/>
        </w:rPr>
        <w:t>大唐电信科技股份有限公司控股子公司增资之重大资产重组报告书（草案）</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（以下简称“《重组报告书》”）</w:t>
      </w:r>
      <w:r>
        <w:rPr>
          <w:rFonts w:ascii="Times New Roman" w:eastAsia="宋体" w:hAnsi="Times New Roman" w:cs="Times New Roman"/>
          <w:color w:val="000000"/>
          <w:kern w:val="0"/>
          <w:sz w:val="24"/>
          <w:szCs w:val="24"/>
        </w:rPr>
        <w:t>等文件进行了修订和补充，现对</w:t>
      </w:r>
      <w:r>
        <w:rPr>
          <w:rFonts w:ascii="Times New Roman" w:eastAsia="宋体" w:hAnsi="Times New Roman" w:cs="Times New Roman" w:hint="eastAsia"/>
          <w:color w:val="000000"/>
          <w:kern w:val="0"/>
          <w:sz w:val="24"/>
          <w:szCs w:val="24"/>
        </w:rPr>
        <w:t>《信息披露问询函》</w:t>
      </w:r>
      <w:r>
        <w:rPr>
          <w:rFonts w:ascii="Times New Roman" w:eastAsia="宋体" w:hAnsi="Times New Roman" w:cs="Times New Roman"/>
          <w:color w:val="000000"/>
          <w:kern w:val="0"/>
          <w:sz w:val="24"/>
          <w:szCs w:val="24"/>
        </w:rPr>
        <w:t>中提及的问题回复如下：</w:t>
      </w:r>
    </w:p>
    <w:p w14:paraId="62115CAD" w14:textId="77777777" w:rsidR="00BD3166" w:rsidRDefault="00C6467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bookmarkStart w:id="1" w:name="_Hlk77675254"/>
      <w:r>
        <w:rPr>
          <w:rFonts w:ascii="Times New Roman" w:eastAsia="宋体" w:hAnsi="Times New Roman" w:cs="Times New Roman"/>
          <w:color w:val="000000"/>
          <w:kern w:val="0"/>
          <w:sz w:val="24"/>
          <w:szCs w:val="24"/>
        </w:rPr>
        <w:t>除特别说明外，本回复所述的词语或简称与</w:t>
      </w:r>
      <w:r>
        <w:rPr>
          <w:rFonts w:ascii="Times New Roman" w:eastAsia="宋体" w:hAnsi="Times New Roman" w:cs="Times New Roman" w:hint="eastAsia"/>
          <w:color w:val="000000"/>
          <w:kern w:val="0"/>
          <w:sz w:val="24"/>
          <w:szCs w:val="24"/>
        </w:rPr>
        <w:t>《重组报告书》</w:t>
      </w:r>
      <w:r>
        <w:rPr>
          <w:rFonts w:ascii="Times New Roman" w:eastAsia="宋体" w:hAnsi="Times New Roman" w:cs="Times New Roman"/>
          <w:color w:val="000000"/>
          <w:kern w:val="0"/>
          <w:sz w:val="24"/>
          <w:szCs w:val="24"/>
        </w:rPr>
        <w:t>中释义所定义的词语或简称具有相</w:t>
      </w:r>
      <w:r>
        <w:rPr>
          <w:rFonts w:ascii="Times New Roman" w:eastAsia="宋体" w:hAnsi="Times New Roman" w:cs="Times New Roman" w:hint="eastAsia"/>
          <w:color w:val="000000"/>
          <w:kern w:val="0"/>
          <w:sz w:val="24"/>
          <w:szCs w:val="24"/>
        </w:rPr>
        <w:t>同的含义。</w:t>
      </w:r>
    </w:p>
    <w:bookmarkEnd w:id="1"/>
    <w:p w14:paraId="4F1D55E7" w14:textId="77777777" w:rsidR="00BD3166" w:rsidRDefault="00BD3166">
      <w:pPr>
        <w:spacing w:line="360" w:lineRule="auto"/>
        <w:ind w:firstLineChars="200" w:firstLine="482"/>
        <w:rPr>
          <w:rFonts w:ascii="Times New Roman" w:hAnsi="Times New Roman" w:cs="Times New Roman"/>
          <w:b/>
          <w:sz w:val="24"/>
        </w:rPr>
      </w:pPr>
    </w:p>
    <w:p w14:paraId="33755ED4" w14:textId="77777777" w:rsidR="00BD3166" w:rsidRDefault="00C64679">
      <w:pPr>
        <w:spacing w:beforeLines="50" w:before="156" w:afterLines="50" w:after="156" w:line="360" w:lineRule="auto"/>
        <w:ind w:firstLineChars="200" w:firstLine="482"/>
        <w:outlineLvl w:val="0"/>
        <w:rPr>
          <w:rFonts w:ascii="Times New Roman" w:eastAsia="宋体" w:hAnsi="Times New Roman" w:cs="Times New Roman"/>
          <w:b/>
          <w:color w:val="000000"/>
          <w:sz w:val="24"/>
          <w:szCs w:val="24"/>
        </w:rPr>
      </w:pPr>
      <w:bookmarkStart w:id="2" w:name="_Hlk75291248"/>
      <w:bookmarkStart w:id="3" w:name="_Hlk77675302"/>
      <w:r>
        <w:rPr>
          <w:rFonts w:ascii="Times New Roman" w:eastAsia="宋体" w:hAnsi="Times New Roman" w:cs="Times New Roman" w:hint="eastAsia"/>
          <w:b/>
          <w:color w:val="000000"/>
          <w:sz w:val="24"/>
          <w:szCs w:val="24"/>
        </w:rPr>
        <w:t>问题</w:t>
      </w: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草案披露，国</w:t>
      </w:r>
      <w:proofErr w:type="gramStart"/>
      <w:r>
        <w:rPr>
          <w:rFonts w:ascii="Times New Roman" w:eastAsia="宋体" w:hAnsi="Times New Roman" w:cs="Times New Roman"/>
          <w:b/>
          <w:color w:val="000000"/>
          <w:sz w:val="24"/>
          <w:szCs w:val="24"/>
        </w:rPr>
        <w:t>新建信</w:t>
      </w:r>
      <w:proofErr w:type="gramEnd"/>
      <w:r>
        <w:rPr>
          <w:rFonts w:ascii="Times New Roman" w:eastAsia="宋体" w:hAnsi="Times New Roman" w:cs="Times New Roman"/>
          <w:b/>
          <w:color w:val="000000"/>
          <w:sz w:val="24"/>
          <w:szCs w:val="24"/>
        </w:rPr>
        <w:t>基金拟以现金对公司控股子公司大唐微电子（以下简称标的公司）增资</w:t>
      </w:r>
      <w:r>
        <w:rPr>
          <w:rFonts w:ascii="Times New Roman" w:eastAsia="宋体" w:hAnsi="Times New Roman" w:cs="Times New Roman"/>
          <w:b/>
          <w:color w:val="000000"/>
          <w:sz w:val="24"/>
          <w:szCs w:val="24"/>
        </w:rPr>
        <w:t>4</w:t>
      </w:r>
      <w:r>
        <w:rPr>
          <w:rFonts w:ascii="Times New Roman" w:eastAsia="宋体" w:hAnsi="Times New Roman" w:cs="Times New Roman"/>
          <w:b/>
          <w:color w:val="000000"/>
          <w:sz w:val="24"/>
          <w:szCs w:val="24"/>
        </w:rPr>
        <w:t>亿元，用于偿还银行贷款及其他金融机构负债。增资完成后，标的公司仍为公司合并报表内子公司，国</w:t>
      </w:r>
      <w:proofErr w:type="gramStart"/>
      <w:r>
        <w:rPr>
          <w:rFonts w:ascii="Times New Roman" w:eastAsia="宋体" w:hAnsi="Times New Roman" w:cs="Times New Roman"/>
          <w:b/>
          <w:color w:val="000000"/>
          <w:sz w:val="24"/>
          <w:szCs w:val="24"/>
        </w:rPr>
        <w:t>新建信</w:t>
      </w:r>
      <w:proofErr w:type="gramEnd"/>
      <w:r>
        <w:rPr>
          <w:rFonts w:ascii="Times New Roman" w:eastAsia="宋体" w:hAnsi="Times New Roman" w:cs="Times New Roman"/>
          <w:b/>
          <w:color w:val="000000"/>
          <w:sz w:val="24"/>
          <w:szCs w:val="24"/>
        </w:rPr>
        <w:t>基金将持有标的公司</w:t>
      </w:r>
      <w:r>
        <w:rPr>
          <w:rFonts w:ascii="Times New Roman" w:eastAsia="宋体" w:hAnsi="Times New Roman" w:cs="Times New Roman"/>
          <w:b/>
          <w:color w:val="000000"/>
          <w:sz w:val="24"/>
          <w:szCs w:val="24"/>
        </w:rPr>
        <w:t>24.44%</w:t>
      </w:r>
      <w:r>
        <w:rPr>
          <w:rFonts w:ascii="Times New Roman" w:eastAsia="宋体" w:hAnsi="Times New Roman" w:cs="Times New Roman"/>
          <w:b/>
          <w:color w:val="000000"/>
          <w:sz w:val="24"/>
          <w:szCs w:val="24"/>
        </w:rPr>
        <w:t>股权，并享有股东会与董事会重大事项一票否决等特殊权利。请公司补充披露：（</w:t>
      </w: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）国</w:t>
      </w:r>
      <w:proofErr w:type="gramStart"/>
      <w:r>
        <w:rPr>
          <w:rFonts w:ascii="Times New Roman" w:eastAsia="宋体" w:hAnsi="Times New Roman" w:cs="Times New Roman"/>
          <w:b/>
          <w:color w:val="000000"/>
          <w:sz w:val="24"/>
          <w:szCs w:val="24"/>
        </w:rPr>
        <w:t>新建信</w:t>
      </w:r>
      <w:proofErr w:type="gramEnd"/>
      <w:r>
        <w:rPr>
          <w:rFonts w:ascii="Times New Roman" w:eastAsia="宋体" w:hAnsi="Times New Roman" w:cs="Times New Roman"/>
          <w:b/>
          <w:color w:val="000000"/>
          <w:sz w:val="24"/>
          <w:szCs w:val="24"/>
        </w:rPr>
        <w:t>基金增资款项的支付方式、时间，并逐笔列式前述拟偿还债务的债务人、形成时间、形成原因、金额、还款安排等；（</w:t>
      </w: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）结合本次增资前后标的公司的股权结构、董事会派驻人员、股东会与董事会重大事项一票否决权等情况，说明本次交易完成后标的公司的股权控制关系，是否属于共同</w:t>
      </w:r>
      <w:r>
        <w:rPr>
          <w:rFonts w:ascii="Times New Roman" w:eastAsia="宋体" w:hAnsi="Times New Roman" w:cs="Times New Roman"/>
          <w:b/>
          <w:color w:val="000000"/>
          <w:sz w:val="24"/>
          <w:szCs w:val="24"/>
        </w:rPr>
        <w:lastRenderedPageBreak/>
        <w:t>控制，以及将标的资产继续纳入合并报表范围的依据及合理性。请财务顾问和会计师发表意见。</w:t>
      </w:r>
    </w:p>
    <w:p w14:paraId="38C3B1AC" w14:textId="77777777" w:rsidR="00BD3166" w:rsidRDefault="00C64679">
      <w:pPr>
        <w:spacing w:beforeLines="50" w:before="156" w:afterLines="50" w:after="156"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回</w:t>
      </w:r>
      <w:r>
        <w:rPr>
          <w:rFonts w:ascii="Times New Roman" w:eastAsia="宋体" w:hAnsi="Times New Roman" w:cs="Times New Roman"/>
          <w:b/>
          <w:color w:val="000000"/>
          <w:sz w:val="24"/>
          <w:szCs w:val="24"/>
        </w:rPr>
        <w:t>复：</w:t>
      </w:r>
    </w:p>
    <w:p w14:paraId="4683F856"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一、国</w:t>
      </w:r>
      <w:proofErr w:type="gramStart"/>
      <w:r>
        <w:rPr>
          <w:rFonts w:ascii="Times New Roman" w:eastAsia="宋体" w:hAnsi="Times New Roman" w:cs="Times New Roman" w:hint="eastAsia"/>
          <w:b/>
          <w:bCs/>
          <w:color w:val="000000"/>
          <w:sz w:val="24"/>
          <w:szCs w:val="24"/>
        </w:rPr>
        <w:t>新建信</w:t>
      </w:r>
      <w:proofErr w:type="gramEnd"/>
      <w:r>
        <w:rPr>
          <w:rFonts w:ascii="Times New Roman" w:eastAsia="宋体" w:hAnsi="Times New Roman" w:cs="Times New Roman" w:hint="eastAsia"/>
          <w:b/>
          <w:bCs/>
          <w:color w:val="000000"/>
          <w:sz w:val="24"/>
          <w:szCs w:val="24"/>
        </w:rPr>
        <w:t>基金增资款项的支付方式、时间，并逐笔列式前述拟偿还债务的债务人、形成时间、形成原因、金额、还款安排等</w:t>
      </w:r>
    </w:p>
    <w:p w14:paraId="4FDAE7D0"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（一）国</w:t>
      </w:r>
      <w:proofErr w:type="gramStart"/>
      <w:r>
        <w:rPr>
          <w:rFonts w:ascii="Times New Roman" w:eastAsia="宋体" w:hAnsi="Times New Roman" w:cs="Times New Roman" w:hint="eastAsia"/>
          <w:b/>
          <w:bCs/>
          <w:color w:val="000000"/>
          <w:sz w:val="24"/>
          <w:szCs w:val="24"/>
        </w:rPr>
        <w:t>新建信</w:t>
      </w:r>
      <w:proofErr w:type="gramEnd"/>
      <w:r>
        <w:rPr>
          <w:rFonts w:ascii="Times New Roman" w:eastAsia="宋体" w:hAnsi="Times New Roman" w:cs="Times New Roman" w:hint="eastAsia"/>
          <w:b/>
          <w:bCs/>
          <w:color w:val="000000"/>
          <w:sz w:val="24"/>
          <w:szCs w:val="24"/>
        </w:rPr>
        <w:t>基金增资款项的支付方式、时间</w:t>
      </w:r>
    </w:p>
    <w:p w14:paraId="1BFBF7F9"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根据《大唐微电子技术有限公司增资协议》的约定，本次增资款支付的先决条件包括：</w:t>
      </w:r>
    </w:p>
    <w:p w14:paraId="2C64C408"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）本协议已签署并生效</w:t>
      </w:r>
      <w:r>
        <w:rPr>
          <w:rFonts w:ascii="Times New Roman" w:eastAsia="宋体" w:hAnsi="Times New Roman" w:cs="Times New Roman"/>
          <w:color w:val="000000"/>
          <w:sz w:val="24"/>
          <w:szCs w:val="24"/>
        </w:rPr>
        <w:t>及</w:t>
      </w:r>
      <w:bookmarkStart w:id="4" w:name="_Hlk59000067"/>
      <w:r>
        <w:rPr>
          <w:rFonts w:ascii="Times New Roman" w:eastAsia="宋体" w:hAnsi="Times New Roman" w:cs="Times New Roman" w:hint="eastAsia"/>
          <w:color w:val="000000"/>
          <w:sz w:val="24"/>
          <w:szCs w:val="24"/>
        </w:rPr>
        <w:t>已向投资者提交其认可的相关文件</w:t>
      </w:r>
      <w:bookmarkEnd w:id="4"/>
      <w:r>
        <w:rPr>
          <w:rFonts w:ascii="Times New Roman" w:eastAsia="宋体" w:hAnsi="Times New Roman" w:cs="Times New Roman" w:hint="eastAsia"/>
          <w:color w:val="000000"/>
          <w:sz w:val="24"/>
          <w:szCs w:val="24"/>
        </w:rPr>
        <w:t>。</w:t>
      </w:r>
    </w:p>
    <w:p w14:paraId="30C11FB4"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2</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原股东、上市公司、目标公司已经完成并取得本次增资的内外部全部批准；目标公司已经完成本次增资的国有资产评估备案工作，取得国有资产评估备案的相关备案文件。</w:t>
      </w:r>
    </w:p>
    <w:p w14:paraId="7BEA0A17"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）原股东、上市公司、目标公司在本协议项下的各项陈述、保证及承诺持续完全有效、真实、完整、准确，且该等陈述、保证及承诺未被其违反。</w:t>
      </w:r>
    </w:p>
    <w:p w14:paraId="5C91FC0E"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自本协议签署后，目标公司未进行任何股权变动及利润分配，不存在限制、禁止或取消本次股权转让的中国法律、法院、仲裁机构或有关政府主管部门的判决、裁决、裁定或禁令，也不存在任何除已向新股东披露的情形外已对或将对本次股权转让产生重大不利影响的针对目标公司的悬而未决或潜在的诉讼、仲裁、判决、裁决、裁定或禁令。</w:t>
      </w:r>
    </w:p>
    <w:p w14:paraId="677F8DE9"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）没有发生对目标公司的业务、资产、财务结构、负债、技术、盈利前景和正常经营已产生或经合理预见可能会产生重大不利影响的事件、事实、条件、变化或其它情况。</w:t>
      </w:r>
    </w:p>
    <w:p w14:paraId="237401E8"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6</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目标公司</w:t>
      </w:r>
      <w:r>
        <w:rPr>
          <w:rFonts w:ascii="Times New Roman" w:eastAsia="宋体" w:hAnsi="Times New Roman" w:cs="Times New Roman"/>
          <w:color w:val="000000"/>
          <w:sz w:val="24"/>
          <w:szCs w:val="24"/>
        </w:rPr>
        <w:t>已经召开股东会，甲方就</w:t>
      </w:r>
      <w:r>
        <w:rPr>
          <w:rFonts w:ascii="Times New Roman" w:eastAsia="宋体" w:hAnsi="Times New Roman" w:cs="Times New Roman" w:hint="eastAsia"/>
          <w:color w:val="000000"/>
          <w:sz w:val="24"/>
          <w:szCs w:val="24"/>
        </w:rPr>
        <w:t>同意新股东</w:t>
      </w:r>
      <w:r>
        <w:rPr>
          <w:rFonts w:ascii="Times New Roman" w:eastAsia="宋体" w:hAnsi="Times New Roman" w:cs="Times New Roman"/>
          <w:color w:val="000000"/>
          <w:sz w:val="24"/>
          <w:szCs w:val="24"/>
        </w:rPr>
        <w:t>增资入股</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放弃对目标公司新增股</w:t>
      </w:r>
      <w:r>
        <w:rPr>
          <w:rFonts w:ascii="Times New Roman" w:eastAsia="宋体" w:hAnsi="Times New Roman" w:cs="Times New Roman" w:hint="eastAsia"/>
          <w:color w:val="000000"/>
          <w:sz w:val="24"/>
          <w:szCs w:val="24"/>
        </w:rPr>
        <w:t>权</w:t>
      </w:r>
      <w:r>
        <w:rPr>
          <w:rFonts w:ascii="Times New Roman" w:eastAsia="宋体" w:hAnsi="Times New Roman" w:cs="Times New Roman"/>
          <w:color w:val="000000"/>
          <w:sz w:val="24"/>
          <w:szCs w:val="24"/>
        </w:rPr>
        <w:t>的优先认缴权做出决议</w:t>
      </w:r>
      <w:r>
        <w:rPr>
          <w:rFonts w:ascii="Times New Roman" w:eastAsia="宋体" w:hAnsi="Times New Roman" w:cs="Times New Roman" w:hint="eastAsia"/>
          <w:color w:val="000000"/>
          <w:sz w:val="24"/>
          <w:szCs w:val="24"/>
        </w:rPr>
        <w:t>。</w:t>
      </w:r>
    </w:p>
    <w:p w14:paraId="3479E817"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）各方已就目标公司修改后的章程达成一致。新章程完整、准确的反映本协议关于公司治理、利润分配、股东权限的相关约定。</w:t>
      </w:r>
    </w:p>
    <w:p w14:paraId="43C986C8"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w:t>
      </w:r>
      <w:r>
        <w:rPr>
          <w:rFonts w:ascii="Times New Roman" w:eastAsia="宋体" w:hAnsi="Times New Roman" w:cs="Times New Roman"/>
          <w:color w:val="000000"/>
          <w:sz w:val="24"/>
          <w:szCs w:val="24"/>
        </w:rPr>
        <w:t>8</w:t>
      </w:r>
      <w:r>
        <w:rPr>
          <w:rFonts w:ascii="Times New Roman" w:eastAsia="宋体" w:hAnsi="Times New Roman" w:cs="Times New Roman" w:hint="eastAsia"/>
          <w:color w:val="000000"/>
          <w:sz w:val="24"/>
          <w:szCs w:val="24"/>
        </w:rPr>
        <w:t>）目标公司已经按照本协议约定开立资金监管账户，且各方已签署资金监管协议。</w:t>
      </w:r>
    </w:p>
    <w:p w14:paraId="25448AFD"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9</w:t>
      </w:r>
      <w:r>
        <w:rPr>
          <w:rFonts w:ascii="Times New Roman" w:eastAsia="宋体" w:hAnsi="Times New Roman" w:cs="Times New Roman" w:hint="eastAsia"/>
          <w:color w:val="000000"/>
          <w:sz w:val="24"/>
          <w:szCs w:val="24"/>
        </w:rPr>
        <w:t>）本次增资已经获得新股东所需取得的全部内部及外部批准和授权。”</w:t>
      </w:r>
    </w:p>
    <w:p w14:paraId="5194C7B4"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上述先决条件全部满足（目标公司、原股东应以书面形式向新股东提供满足先决条件的相应的证明文件）的前提下，</w:t>
      </w:r>
      <w:proofErr w:type="gramStart"/>
      <w:r>
        <w:rPr>
          <w:rFonts w:ascii="Times New Roman" w:eastAsia="宋体" w:hAnsi="Times New Roman" w:cs="Times New Roman" w:hint="eastAsia"/>
          <w:color w:val="000000"/>
          <w:sz w:val="24"/>
          <w:szCs w:val="24"/>
        </w:rPr>
        <w:t>经目标</w:t>
      </w:r>
      <w:proofErr w:type="gramEnd"/>
      <w:r>
        <w:rPr>
          <w:rFonts w:ascii="Times New Roman" w:eastAsia="宋体" w:hAnsi="Times New Roman" w:cs="Times New Roman" w:hint="eastAsia"/>
          <w:color w:val="000000"/>
          <w:sz w:val="24"/>
          <w:szCs w:val="24"/>
        </w:rPr>
        <w:t>公司向新股东发出付款申请书之日起的</w:t>
      </w:r>
      <w:r>
        <w:rPr>
          <w:rFonts w:ascii="Times New Roman" w:eastAsia="宋体" w:hAnsi="Times New Roman" w:cs="Times New Roman" w:hint="eastAsia"/>
          <w:color w:val="000000"/>
          <w:sz w:val="24"/>
          <w:szCs w:val="24"/>
        </w:rPr>
        <w:t>10</w:t>
      </w:r>
      <w:r>
        <w:rPr>
          <w:rFonts w:ascii="Times New Roman" w:eastAsia="宋体" w:hAnsi="Times New Roman" w:cs="Times New Roman" w:hint="eastAsia"/>
          <w:color w:val="000000"/>
          <w:sz w:val="24"/>
          <w:szCs w:val="24"/>
        </w:rPr>
        <w:t>个工作日内，新股东以银行转账的方式向目标公司支付增资款。</w:t>
      </w:r>
    </w:p>
    <w:p w14:paraId="53BE1C48"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（二）前述拟偿还债务的债务人、形成时间、形成原因、金额、还款安排等</w:t>
      </w:r>
    </w:p>
    <w:p w14:paraId="3F4FD278" w14:textId="36FB0813"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目标公司将于增资日后的</w:t>
      </w:r>
      <w:r>
        <w:rPr>
          <w:rFonts w:ascii="Times New Roman" w:eastAsia="宋体" w:hAnsi="Times New Roman" w:cs="Times New Roman" w:hint="eastAsia"/>
          <w:color w:val="000000"/>
          <w:sz w:val="24"/>
          <w:szCs w:val="24"/>
        </w:rPr>
        <w:t>180</w:t>
      </w:r>
      <w:r>
        <w:rPr>
          <w:rFonts w:ascii="Times New Roman" w:eastAsia="宋体" w:hAnsi="Times New Roman" w:cs="Times New Roman" w:hint="eastAsia"/>
          <w:color w:val="000000"/>
          <w:sz w:val="24"/>
          <w:szCs w:val="24"/>
        </w:rPr>
        <w:t>日内将全部增资款用于偿还《资金监管协议》项下的债务，其中拟偿还债务清单总金额为</w:t>
      </w:r>
      <w:r>
        <w:rPr>
          <w:rFonts w:ascii="Times New Roman" w:eastAsia="宋体" w:hAnsi="Times New Roman" w:cs="Times New Roman" w:hint="eastAsia"/>
          <w:color w:val="000000"/>
          <w:sz w:val="24"/>
          <w:szCs w:val="24"/>
        </w:rPr>
        <w:t>4</w:t>
      </w:r>
      <w:r>
        <w:rPr>
          <w:rFonts w:ascii="Times New Roman" w:eastAsia="宋体" w:hAnsi="Times New Roman" w:cs="Times New Roman"/>
          <w:color w:val="000000"/>
          <w:sz w:val="24"/>
          <w:szCs w:val="24"/>
        </w:rPr>
        <w:t>.81</w:t>
      </w:r>
      <w:r>
        <w:rPr>
          <w:rFonts w:ascii="Times New Roman" w:eastAsia="宋体" w:hAnsi="Times New Roman" w:cs="Times New Roman" w:hint="eastAsia"/>
          <w:color w:val="000000"/>
          <w:sz w:val="24"/>
          <w:szCs w:val="24"/>
        </w:rPr>
        <w:t>亿元，增资金额为</w:t>
      </w:r>
      <w:r>
        <w:rPr>
          <w:rFonts w:ascii="Times New Roman" w:eastAsia="宋体" w:hAnsi="Times New Roman" w:cs="Times New Roman" w:hint="eastAsia"/>
          <w:color w:val="000000"/>
          <w:sz w:val="24"/>
          <w:szCs w:val="24"/>
        </w:rPr>
        <w:t>4</w:t>
      </w:r>
      <w:r>
        <w:rPr>
          <w:rFonts w:ascii="Times New Roman" w:eastAsia="宋体" w:hAnsi="Times New Roman" w:cs="Times New Roman" w:hint="eastAsia"/>
          <w:color w:val="000000"/>
          <w:sz w:val="24"/>
          <w:szCs w:val="24"/>
        </w:rPr>
        <w:t>亿元，增资款在约定的债务清单范围内进行偿还，剩余的</w:t>
      </w:r>
      <w:r>
        <w:rPr>
          <w:rFonts w:ascii="Times New Roman" w:eastAsia="宋体" w:hAnsi="Times New Roman" w:cs="Times New Roman" w:hint="eastAsia"/>
          <w:color w:val="000000"/>
          <w:sz w:val="24"/>
          <w:szCs w:val="24"/>
        </w:rPr>
        <w:t>0</w:t>
      </w:r>
      <w:r>
        <w:rPr>
          <w:rFonts w:ascii="Times New Roman" w:eastAsia="宋体" w:hAnsi="Times New Roman" w:cs="Times New Roman"/>
          <w:color w:val="000000"/>
          <w:sz w:val="24"/>
          <w:szCs w:val="24"/>
        </w:rPr>
        <w:t>.81</w:t>
      </w:r>
      <w:r>
        <w:rPr>
          <w:rFonts w:ascii="Times New Roman" w:eastAsia="宋体" w:hAnsi="Times New Roman" w:cs="Times New Roman" w:hint="eastAsia"/>
          <w:color w:val="000000"/>
          <w:sz w:val="24"/>
          <w:szCs w:val="24"/>
        </w:rPr>
        <w:t>亿元债务由债务人以其他自有资金偿还。债务清单涉及主体包括大唐微电子、大唐电信和大</w:t>
      </w:r>
      <w:proofErr w:type="gramStart"/>
      <w:r>
        <w:rPr>
          <w:rFonts w:ascii="Times New Roman" w:eastAsia="宋体" w:hAnsi="Times New Roman" w:cs="Times New Roman" w:hint="eastAsia"/>
          <w:color w:val="000000"/>
          <w:sz w:val="24"/>
          <w:szCs w:val="24"/>
        </w:rPr>
        <w:t>唐软件</w:t>
      </w:r>
      <w:proofErr w:type="gramEnd"/>
      <w:r>
        <w:rPr>
          <w:rFonts w:ascii="Times New Roman" w:eastAsia="宋体" w:hAnsi="Times New Roman" w:cs="Times New Roman" w:hint="eastAsia"/>
          <w:color w:val="000000"/>
          <w:sz w:val="24"/>
          <w:szCs w:val="24"/>
        </w:rPr>
        <w:t>技术股份有限公司（简称“大唐软件”），其中大唐微电子和大</w:t>
      </w:r>
      <w:proofErr w:type="gramStart"/>
      <w:r>
        <w:rPr>
          <w:rFonts w:ascii="Times New Roman" w:eastAsia="宋体" w:hAnsi="Times New Roman" w:cs="Times New Roman" w:hint="eastAsia"/>
          <w:color w:val="000000"/>
          <w:sz w:val="24"/>
          <w:szCs w:val="24"/>
        </w:rPr>
        <w:t>唐软件</w:t>
      </w:r>
      <w:proofErr w:type="gramEnd"/>
      <w:r>
        <w:rPr>
          <w:rFonts w:ascii="Times New Roman" w:eastAsia="宋体" w:hAnsi="Times New Roman" w:cs="Times New Roman" w:hint="eastAsia"/>
          <w:color w:val="000000"/>
          <w:sz w:val="24"/>
          <w:szCs w:val="24"/>
        </w:rPr>
        <w:t>均为大唐电信的下属企业，大唐半导体为大唐微电子控股股东，大唐电信直接持有大</w:t>
      </w:r>
      <w:proofErr w:type="gramStart"/>
      <w:r>
        <w:rPr>
          <w:rFonts w:ascii="Times New Roman" w:eastAsia="宋体" w:hAnsi="Times New Roman" w:cs="Times New Roman" w:hint="eastAsia"/>
          <w:color w:val="000000"/>
          <w:sz w:val="24"/>
          <w:szCs w:val="24"/>
        </w:rPr>
        <w:t>唐软件</w:t>
      </w:r>
      <w:proofErr w:type="gramEnd"/>
      <w:r>
        <w:rPr>
          <w:rFonts w:ascii="Times New Roman" w:eastAsia="宋体" w:hAnsi="Times New Roman" w:cs="Times New Roman" w:hint="eastAsia"/>
          <w:color w:val="000000"/>
          <w:sz w:val="24"/>
          <w:szCs w:val="24"/>
        </w:rPr>
        <w:t>9</w:t>
      </w:r>
      <w:r>
        <w:rPr>
          <w:rFonts w:ascii="Times New Roman" w:eastAsia="宋体" w:hAnsi="Times New Roman" w:cs="Times New Roman"/>
          <w:color w:val="000000"/>
          <w:sz w:val="24"/>
          <w:szCs w:val="24"/>
        </w:rPr>
        <w:t>2.16</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股权、通过大唐半导体持有大唐微电子</w:t>
      </w:r>
      <w:r>
        <w:rPr>
          <w:rFonts w:ascii="Times New Roman" w:eastAsia="宋体" w:hAnsi="Times New Roman" w:cs="Times New Roman" w:hint="eastAsia"/>
          <w:color w:val="000000"/>
          <w:sz w:val="24"/>
          <w:szCs w:val="24"/>
        </w:rPr>
        <w:t>9</w:t>
      </w: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股权。根据《关于积极稳妥降低企业杠杆率的意见》（国发</w:t>
      </w:r>
      <w:r>
        <w:rPr>
          <w:rFonts w:ascii="Times New Roman" w:eastAsia="宋体" w:hAnsi="Times New Roman" w:cs="Times New Roman" w:hint="eastAsia"/>
          <w:color w:val="000000"/>
          <w:sz w:val="24"/>
          <w:szCs w:val="24"/>
        </w:rPr>
        <w:t>[2016]54</w:t>
      </w:r>
      <w:r>
        <w:rPr>
          <w:rFonts w:ascii="Times New Roman" w:eastAsia="宋体" w:hAnsi="Times New Roman" w:cs="Times New Roman" w:hint="eastAsia"/>
          <w:color w:val="000000"/>
          <w:sz w:val="24"/>
          <w:szCs w:val="24"/>
        </w:rPr>
        <w:t>号）和《国家发展改革委等关于市场化银行债权转股权实施中有关具体政策问题的通知》（</w:t>
      </w:r>
      <w:proofErr w:type="gramStart"/>
      <w:r>
        <w:rPr>
          <w:rFonts w:ascii="Times New Roman" w:eastAsia="宋体" w:hAnsi="Times New Roman" w:cs="Times New Roman" w:hint="eastAsia"/>
          <w:color w:val="000000"/>
          <w:sz w:val="24"/>
          <w:szCs w:val="24"/>
        </w:rPr>
        <w:t>发改财金</w:t>
      </w:r>
      <w:proofErr w:type="gramEnd"/>
      <w:r>
        <w:rPr>
          <w:rFonts w:ascii="Times New Roman" w:eastAsia="宋体" w:hAnsi="Times New Roman" w:cs="Times New Roman" w:hint="eastAsia"/>
          <w:color w:val="000000"/>
          <w:sz w:val="24"/>
          <w:szCs w:val="24"/>
        </w:rPr>
        <w:t>[2018]152</w:t>
      </w:r>
      <w:r>
        <w:rPr>
          <w:rFonts w:ascii="Times New Roman" w:eastAsia="宋体" w:hAnsi="Times New Roman" w:cs="Times New Roman" w:hint="eastAsia"/>
          <w:color w:val="000000"/>
          <w:sz w:val="24"/>
          <w:szCs w:val="24"/>
        </w:rPr>
        <w:t>号）等法律法规的规定，关于转股债权的范围要求为“以银行对企业发放贷款形成的债权为主，适当考虑其他类型债权”，其仅对股权投资资金最终用途进行规定，未对是否可以偿还集团内其他公司符合规定的债务</w:t>
      </w:r>
      <w:proofErr w:type="gramStart"/>
      <w:r>
        <w:rPr>
          <w:rFonts w:ascii="Times New Roman" w:eastAsia="宋体" w:hAnsi="Times New Roman" w:cs="Times New Roman" w:hint="eastAsia"/>
          <w:color w:val="000000"/>
          <w:sz w:val="24"/>
          <w:szCs w:val="24"/>
        </w:rPr>
        <w:t>作出</w:t>
      </w:r>
      <w:proofErr w:type="gramEnd"/>
      <w:r>
        <w:rPr>
          <w:rFonts w:ascii="Times New Roman" w:eastAsia="宋体" w:hAnsi="Times New Roman" w:cs="Times New Roman" w:hint="eastAsia"/>
          <w:color w:val="000000"/>
          <w:sz w:val="24"/>
          <w:szCs w:val="24"/>
        </w:rPr>
        <w:t>限制。根据《金融资产投资公司管理办法（试行）》（中国银行保险监督管理委员会</w:t>
      </w:r>
      <w:r>
        <w:rPr>
          <w:rFonts w:ascii="Times New Roman" w:eastAsia="宋体" w:hAnsi="Times New Roman" w:cs="Times New Roman" w:hint="eastAsia"/>
          <w:color w:val="000000"/>
          <w:sz w:val="24"/>
          <w:szCs w:val="24"/>
        </w:rPr>
        <w:t>2018</w:t>
      </w:r>
      <w:r>
        <w:rPr>
          <w:rFonts w:ascii="Times New Roman" w:eastAsia="宋体" w:hAnsi="Times New Roman" w:cs="Times New Roman" w:hint="eastAsia"/>
          <w:color w:val="000000"/>
          <w:sz w:val="24"/>
          <w:szCs w:val="24"/>
        </w:rPr>
        <w:t>年第</w:t>
      </w:r>
      <w:r>
        <w:rPr>
          <w:rFonts w:ascii="Times New Roman" w:eastAsia="宋体" w:hAnsi="Times New Roman" w:cs="Times New Roman" w:hint="eastAsia"/>
          <w:color w:val="000000"/>
          <w:sz w:val="24"/>
          <w:szCs w:val="24"/>
        </w:rPr>
        <w:t>4</w:t>
      </w:r>
      <w:r>
        <w:rPr>
          <w:rFonts w:ascii="Times New Roman" w:eastAsia="宋体" w:hAnsi="Times New Roman" w:cs="Times New Roman" w:hint="eastAsia"/>
          <w:color w:val="000000"/>
          <w:sz w:val="24"/>
          <w:szCs w:val="24"/>
        </w:rPr>
        <w:t>号）的规定，“转股债权标的应当以银行对企业发放贷款形成的债权为主，适当考虑其他类型银行债权和非银行金融机构债权。”即金融资产投资公司以股权投资方式进行债转股，资金最终用途为符合规定的银行债权为主的金融债权，未对是否可以偿还集团内其他公司符合规定的债务</w:t>
      </w:r>
      <w:proofErr w:type="gramStart"/>
      <w:r>
        <w:rPr>
          <w:rFonts w:ascii="Times New Roman" w:eastAsia="宋体" w:hAnsi="Times New Roman" w:cs="Times New Roman" w:hint="eastAsia"/>
          <w:color w:val="000000"/>
          <w:sz w:val="24"/>
          <w:szCs w:val="24"/>
        </w:rPr>
        <w:t>作出</w:t>
      </w:r>
      <w:proofErr w:type="gramEnd"/>
      <w:r>
        <w:rPr>
          <w:rFonts w:ascii="Times New Roman" w:eastAsia="宋体" w:hAnsi="Times New Roman" w:cs="Times New Roman" w:hint="eastAsia"/>
          <w:color w:val="000000"/>
          <w:sz w:val="24"/>
          <w:szCs w:val="24"/>
        </w:rPr>
        <w:t>限制。从实际操作来看，存在偿还集团内其他公司相关债务的案例，均得到“降低企业杠杆率工作部际联席会”的认可，如中建西部建设股份有限公司债转股实施公告中披露的投资价款的用途：“如被投资公司将增资款以投资人认可的方式提供给控股股东的，控股股东应当全部用于偿还以银行发放贷款</w:t>
      </w:r>
      <w:r>
        <w:rPr>
          <w:rFonts w:ascii="Times New Roman" w:eastAsia="宋体" w:hAnsi="Times New Roman" w:cs="Times New Roman" w:hint="eastAsia"/>
          <w:color w:val="000000"/>
          <w:sz w:val="24"/>
          <w:szCs w:val="24"/>
        </w:rPr>
        <w:lastRenderedPageBreak/>
        <w:t>为主形成的存量金融机构债务。”</w:t>
      </w:r>
      <w:r w:rsidR="00D55000" w:rsidRPr="00D55000">
        <w:rPr>
          <w:rFonts w:ascii="Times New Roman" w:eastAsia="宋体" w:hAnsi="Times New Roman" w:cs="Times New Roman" w:hint="eastAsia"/>
          <w:color w:val="000000"/>
          <w:sz w:val="24"/>
          <w:szCs w:val="24"/>
        </w:rPr>
        <w:t>本次增资</w:t>
      </w:r>
      <w:proofErr w:type="gramStart"/>
      <w:r w:rsidR="00D55000" w:rsidRPr="00D55000">
        <w:rPr>
          <w:rFonts w:ascii="Times New Roman" w:eastAsia="宋体" w:hAnsi="Times New Roman" w:cs="Times New Roman" w:hint="eastAsia"/>
          <w:color w:val="000000"/>
          <w:sz w:val="24"/>
          <w:szCs w:val="24"/>
        </w:rPr>
        <w:t>款最终</w:t>
      </w:r>
      <w:proofErr w:type="gramEnd"/>
      <w:r w:rsidR="00D55000" w:rsidRPr="00D55000">
        <w:rPr>
          <w:rFonts w:ascii="Times New Roman" w:eastAsia="宋体" w:hAnsi="Times New Roman" w:cs="Times New Roman" w:hint="eastAsia"/>
          <w:color w:val="000000"/>
          <w:sz w:val="24"/>
          <w:szCs w:val="24"/>
        </w:rPr>
        <w:t>偿还债权类型为大唐电信、大唐微电子和大</w:t>
      </w:r>
      <w:proofErr w:type="gramStart"/>
      <w:r w:rsidR="00D55000" w:rsidRPr="00D55000">
        <w:rPr>
          <w:rFonts w:ascii="Times New Roman" w:eastAsia="宋体" w:hAnsi="Times New Roman" w:cs="Times New Roman" w:hint="eastAsia"/>
          <w:color w:val="000000"/>
          <w:sz w:val="24"/>
          <w:szCs w:val="24"/>
        </w:rPr>
        <w:t>唐软件</w:t>
      </w:r>
      <w:proofErr w:type="gramEnd"/>
      <w:r w:rsidR="00D55000" w:rsidRPr="00D55000">
        <w:rPr>
          <w:rFonts w:ascii="Times New Roman" w:eastAsia="宋体" w:hAnsi="Times New Roman" w:cs="Times New Roman" w:hint="eastAsia"/>
          <w:color w:val="000000"/>
          <w:sz w:val="24"/>
          <w:szCs w:val="24"/>
        </w:rPr>
        <w:t>的金融机构债权，符合债转</w:t>
      </w:r>
      <w:proofErr w:type="gramStart"/>
      <w:r w:rsidR="00D55000" w:rsidRPr="00D55000">
        <w:rPr>
          <w:rFonts w:ascii="Times New Roman" w:eastAsia="宋体" w:hAnsi="Times New Roman" w:cs="Times New Roman" w:hint="eastAsia"/>
          <w:color w:val="000000"/>
          <w:sz w:val="24"/>
          <w:szCs w:val="24"/>
        </w:rPr>
        <w:t>股相关</w:t>
      </w:r>
      <w:proofErr w:type="gramEnd"/>
      <w:r w:rsidR="00D55000" w:rsidRPr="00D55000">
        <w:rPr>
          <w:rFonts w:ascii="Times New Roman" w:eastAsia="宋体" w:hAnsi="Times New Roman" w:cs="Times New Roman" w:hint="eastAsia"/>
          <w:color w:val="000000"/>
          <w:sz w:val="24"/>
          <w:szCs w:val="24"/>
        </w:rPr>
        <w:t>法律法规的规定</w:t>
      </w:r>
      <w:r>
        <w:rPr>
          <w:rFonts w:ascii="Times New Roman" w:eastAsia="宋体" w:hAnsi="Times New Roman" w:cs="Times New Roman" w:hint="eastAsia"/>
          <w:color w:val="000000"/>
          <w:sz w:val="24"/>
          <w:szCs w:val="24"/>
        </w:rPr>
        <w:t>。具体偿还债务清单范围如下：</w:t>
      </w:r>
    </w:p>
    <w:p w14:paraId="744A170A" w14:textId="77777777" w:rsidR="00BD3166" w:rsidRDefault="00C64679">
      <w:pPr>
        <w:autoSpaceDE w:val="0"/>
        <w:autoSpaceDN w:val="0"/>
        <w:spacing w:beforeLines="50" w:before="156" w:line="360" w:lineRule="auto"/>
        <w:ind w:firstLineChars="200" w:firstLine="420"/>
        <w:jc w:val="right"/>
        <w:rPr>
          <w:rFonts w:ascii="Times New Roman" w:eastAsia="宋体" w:hAnsi="Times New Roman" w:cs="Times New Roman"/>
          <w:b/>
          <w:bCs/>
          <w:color w:val="000000"/>
          <w:szCs w:val="21"/>
        </w:rPr>
      </w:pPr>
      <w:r>
        <w:rPr>
          <w:rFonts w:ascii="Times New Roman" w:eastAsia="宋体" w:hAnsi="Times New Roman" w:cs="Times New Roman" w:hint="eastAsia"/>
          <w:color w:val="000000"/>
          <w:szCs w:val="21"/>
        </w:rPr>
        <w:t>单位：万元</w:t>
      </w:r>
    </w:p>
    <w:tbl>
      <w:tblPr>
        <w:tblW w:w="5345" w:type="pct"/>
        <w:jc w:val="center"/>
        <w:tblLayout w:type="fixed"/>
        <w:tblLook w:val="04A0" w:firstRow="1" w:lastRow="0" w:firstColumn="1" w:lastColumn="0" w:noHBand="0" w:noVBand="1"/>
      </w:tblPr>
      <w:tblGrid>
        <w:gridCol w:w="657"/>
        <w:gridCol w:w="942"/>
        <w:gridCol w:w="1164"/>
        <w:gridCol w:w="1310"/>
        <w:gridCol w:w="1603"/>
        <w:gridCol w:w="1749"/>
        <w:gridCol w:w="1685"/>
      </w:tblGrid>
      <w:tr w:rsidR="00BD3166" w14:paraId="474A282F" w14:textId="77777777">
        <w:trPr>
          <w:trHeight w:val="240"/>
          <w:tblHeader/>
          <w:jc w:val="center"/>
        </w:trPr>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62C57B"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序号</w:t>
            </w:r>
          </w:p>
        </w:tc>
        <w:tc>
          <w:tcPr>
            <w:tcW w:w="517" w:type="pct"/>
            <w:tcBorders>
              <w:top w:val="single" w:sz="4" w:space="0" w:color="auto"/>
              <w:left w:val="nil"/>
              <w:bottom w:val="single" w:sz="4" w:space="0" w:color="auto"/>
              <w:right w:val="single" w:sz="4" w:space="0" w:color="auto"/>
            </w:tcBorders>
            <w:shd w:val="clear" w:color="auto" w:fill="auto"/>
            <w:noWrap/>
            <w:vAlign w:val="center"/>
          </w:tcPr>
          <w:p w14:paraId="3D3EDA6C"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债务人</w:t>
            </w:r>
          </w:p>
        </w:tc>
        <w:tc>
          <w:tcPr>
            <w:tcW w:w="639" w:type="pct"/>
            <w:tcBorders>
              <w:top w:val="single" w:sz="4" w:space="0" w:color="auto"/>
              <w:left w:val="nil"/>
              <w:bottom w:val="single" w:sz="4" w:space="0" w:color="auto"/>
              <w:right w:val="single" w:sz="4" w:space="0" w:color="auto"/>
            </w:tcBorders>
            <w:shd w:val="clear" w:color="auto" w:fill="auto"/>
            <w:noWrap/>
            <w:vAlign w:val="center"/>
          </w:tcPr>
          <w:p w14:paraId="2F4E39CD"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银行名称</w:t>
            </w:r>
          </w:p>
        </w:tc>
        <w:tc>
          <w:tcPr>
            <w:tcW w:w="719" w:type="pct"/>
            <w:tcBorders>
              <w:top w:val="single" w:sz="4" w:space="0" w:color="auto"/>
              <w:left w:val="nil"/>
              <w:bottom w:val="single" w:sz="4" w:space="0" w:color="auto"/>
              <w:right w:val="single" w:sz="4" w:space="0" w:color="auto"/>
            </w:tcBorders>
            <w:shd w:val="clear" w:color="auto" w:fill="auto"/>
            <w:noWrap/>
            <w:vAlign w:val="center"/>
          </w:tcPr>
          <w:p w14:paraId="670C3BC5"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借款金额</w:t>
            </w:r>
          </w:p>
        </w:tc>
        <w:tc>
          <w:tcPr>
            <w:tcW w:w="880" w:type="pct"/>
            <w:tcBorders>
              <w:top w:val="single" w:sz="4" w:space="0" w:color="auto"/>
              <w:left w:val="nil"/>
              <w:bottom w:val="single" w:sz="4" w:space="0" w:color="auto"/>
              <w:right w:val="single" w:sz="4" w:space="0" w:color="auto"/>
            </w:tcBorders>
            <w:shd w:val="clear" w:color="auto" w:fill="auto"/>
            <w:noWrap/>
            <w:vAlign w:val="center"/>
          </w:tcPr>
          <w:p w14:paraId="5B5DEDA6"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贷款起始日期</w:t>
            </w:r>
          </w:p>
        </w:tc>
        <w:tc>
          <w:tcPr>
            <w:tcW w:w="960" w:type="pct"/>
            <w:tcBorders>
              <w:top w:val="single" w:sz="4" w:space="0" w:color="auto"/>
              <w:left w:val="nil"/>
              <w:bottom w:val="single" w:sz="4" w:space="0" w:color="auto"/>
              <w:right w:val="single" w:sz="4" w:space="0" w:color="auto"/>
            </w:tcBorders>
            <w:shd w:val="clear" w:color="auto" w:fill="auto"/>
            <w:noWrap/>
            <w:vAlign w:val="center"/>
          </w:tcPr>
          <w:p w14:paraId="3D72E786"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贷款到期日期</w:t>
            </w:r>
          </w:p>
        </w:tc>
        <w:tc>
          <w:tcPr>
            <w:tcW w:w="925" w:type="pct"/>
            <w:tcBorders>
              <w:top w:val="single" w:sz="4" w:space="0" w:color="auto"/>
              <w:left w:val="nil"/>
              <w:bottom w:val="single" w:sz="4" w:space="0" w:color="auto"/>
              <w:right w:val="single" w:sz="4" w:space="0" w:color="auto"/>
            </w:tcBorders>
            <w:shd w:val="clear" w:color="auto" w:fill="auto"/>
            <w:noWrap/>
            <w:vAlign w:val="center"/>
          </w:tcPr>
          <w:p w14:paraId="7C28E0EF"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形成原因</w:t>
            </w:r>
          </w:p>
        </w:tc>
      </w:tr>
      <w:tr w:rsidR="00BD3166" w14:paraId="44A088E3" w14:textId="77777777">
        <w:trPr>
          <w:trHeight w:val="28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02F47A8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w:t>
            </w:r>
          </w:p>
        </w:tc>
        <w:tc>
          <w:tcPr>
            <w:tcW w:w="517" w:type="pct"/>
            <w:vMerge w:val="restart"/>
            <w:tcBorders>
              <w:top w:val="nil"/>
              <w:left w:val="single" w:sz="4" w:space="0" w:color="auto"/>
              <w:bottom w:val="single" w:sz="4" w:space="0" w:color="000000"/>
              <w:right w:val="single" w:sz="4" w:space="0" w:color="auto"/>
            </w:tcBorders>
            <w:shd w:val="clear" w:color="auto" w:fill="auto"/>
            <w:noWrap/>
            <w:vAlign w:val="center"/>
          </w:tcPr>
          <w:p w14:paraId="780E4724"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大唐微电子</w:t>
            </w:r>
          </w:p>
        </w:tc>
        <w:tc>
          <w:tcPr>
            <w:tcW w:w="639" w:type="pct"/>
            <w:tcBorders>
              <w:top w:val="nil"/>
              <w:left w:val="nil"/>
              <w:bottom w:val="single" w:sz="4" w:space="0" w:color="auto"/>
              <w:right w:val="single" w:sz="4" w:space="0" w:color="auto"/>
            </w:tcBorders>
            <w:shd w:val="clear" w:color="auto" w:fill="auto"/>
            <w:noWrap/>
            <w:vAlign w:val="center"/>
          </w:tcPr>
          <w:p w14:paraId="56CC1AB4"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6F294813"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3,200.00</w:t>
            </w:r>
          </w:p>
        </w:tc>
        <w:tc>
          <w:tcPr>
            <w:tcW w:w="880" w:type="pct"/>
            <w:tcBorders>
              <w:top w:val="nil"/>
              <w:left w:val="nil"/>
              <w:bottom w:val="single" w:sz="4" w:space="0" w:color="auto"/>
              <w:right w:val="single" w:sz="4" w:space="0" w:color="auto"/>
            </w:tcBorders>
            <w:shd w:val="clear" w:color="auto" w:fill="auto"/>
            <w:noWrap/>
            <w:vAlign w:val="center"/>
          </w:tcPr>
          <w:p w14:paraId="1DBEF532"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2020/8/7</w:t>
            </w:r>
          </w:p>
        </w:tc>
        <w:tc>
          <w:tcPr>
            <w:tcW w:w="960" w:type="pct"/>
            <w:tcBorders>
              <w:top w:val="nil"/>
              <w:left w:val="nil"/>
              <w:bottom w:val="single" w:sz="4" w:space="0" w:color="auto"/>
              <w:right w:val="single" w:sz="4" w:space="0" w:color="auto"/>
            </w:tcBorders>
            <w:shd w:val="clear" w:color="auto" w:fill="auto"/>
            <w:noWrap/>
            <w:vAlign w:val="center"/>
          </w:tcPr>
          <w:p w14:paraId="41D12F0B"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2021/8/6</w:t>
            </w:r>
          </w:p>
        </w:tc>
        <w:tc>
          <w:tcPr>
            <w:tcW w:w="925" w:type="pct"/>
            <w:tcBorders>
              <w:top w:val="nil"/>
              <w:left w:val="nil"/>
              <w:bottom w:val="single" w:sz="4" w:space="0" w:color="auto"/>
              <w:right w:val="single" w:sz="4" w:space="0" w:color="auto"/>
            </w:tcBorders>
            <w:shd w:val="clear" w:color="auto" w:fill="auto"/>
            <w:noWrap/>
            <w:vAlign w:val="center"/>
          </w:tcPr>
          <w:p w14:paraId="11069576"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62420BCE"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DB04F12"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4FD640E0"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6983BB52"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7DB632D8"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500.00</w:t>
            </w:r>
          </w:p>
        </w:tc>
        <w:tc>
          <w:tcPr>
            <w:tcW w:w="880" w:type="pct"/>
            <w:tcBorders>
              <w:top w:val="nil"/>
              <w:left w:val="nil"/>
              <w:bottom w:val="single" w:sz="4" w:space="0" w:color="auto"/>
              <w:right w:val="single" w:sz="4" w:space="0" w:color="auto"/>
            </w:tcBorders>
            <w:shd w:val="clear" w:color="auto" w:fill="auto"/>
            <w:noWrap/>
            <w:vAlign w:val="center"/>
          </w:tcPr>
          <w:p w14:paraId="51C9848D"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2020/9/10</w:t>
            </w:r>
          </w:p>
        </w:tc>
        <w:tc>
          <w:tcPr>
            <w:tcW w:w="960" w:type="pct"/>
            <w:tcBorders>
              <w:top w:val="nil"/>
              <w:left w:val="nil"/>
              <w:bottom w:val="single" w:sz="4" w:space="0" w:color="auto"/>
              <w:right w:val="single" w:sz="4" w:space="0" w:color="auto"/>
            </w:tcBorders>
            <w:shd w:val="clear" w:color="auto" w:fill="auto"/>
            <w:noWrap/>
            <w:vAlign w:val="center"/>
          </w:tcPr>
          <w:p w14:paraId="3AEEE745"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2021/9/10</w:t>
            </w:r>
          </w:p>
        </w:tc>
        <w:tc>
          <w:tcPr>
            <w:tcW w:w="925" w:type="pct"/>
            <w:tcBorders>
              <w:top w:val="nil"/>
              <w:left w:val="nil"/>
              <w:bottom w:val="single" w:sz="4" w:space="0" w:color="auto"/>
              <w:right w:val="single" w:sz="4" w:space="0" w:color="auto"/>
            </w:tcBorders>
            <w:shd w:val="clear" w:color="auto" w:fill="auto"/>
            <w:noWrap/>
            <w:vAlign w:val="center"/>
          </w:tcPr>
          <w:p w14:paraId="7A2B17E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1BDBAD17"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1ACBD1E7"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3</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18404C42"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75BA426F"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0593A0F4"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600.00</w:t>
            </w:r>
          </w:p>
        </w:tc>
        <w:tc>
          <w:tcPr>
            <w:tcW w:w="880" w:type="pct"/>
            <w:tcBorders>
              <w:top w:val="nil"/>
              <w:left w:val="nil"/>
              <w:bottom w:val="single" w:sz="4" w:space="0" w:color="auto"/>
              <w:right w:val="single" w:sz="4" w:space="0" w:color="auto"/>
            </w:tcBorders>
            <w:shd w:val="clear" w:color="auto" w:fill="auto"/>
            <w:noWrap/>
            <w:vAlign w:val="center"/>
          </w:tcPr>
          <w:p w14:paraId="0B92513D"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2020/9/30</w:t>
            </w:r>
          </w:p>
        </w:tc>
        <w:tc>
          <w:tcPr>
            <w:tcW w:w="960" w:type="pct"/>
            <w:tcBorders>
              <w:top w:val="nil"/>
              <w:left w:val="nil"/>
              <w:bottom w:val="single" w:sz="4" w:space="0" w:color="auto"/>
              <w:right w:val="single" w:sz="4" w:space="0" w:color="auto"/>
            </w:tcBorders>
            <w:shd w:val="clear" w:color="auto" w:fill="auto"/>
            <w:noWrap/>
            <w:vAlign w:val="center"/>
          </w:tcPr>
          <w:p w14:paraId="0743452A"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2021/9/30</w:t>
            </w:r>
          </w:p>
        </w:tc>
        <w:tc>
          <w:tcPr>
            <w:tcW w:w="925" w:type="pct"/>
            <w:tcBorders>
              <w:top w:val="nil"/>
              <w:left w:val="nil"/>
              <w:bottom w:val="single" w:sz="4" w:space="0" w:color="auto"/>
              <w:right w:val="single" w:sz="4" w:space="0" w:color="auto"/>
            </w:tcBorders>
            <w:shd w:val="clear" w:color="auto" w:fill="auto"/>
            <w:noWrap/>
            <w:vAlign w:val="center"/>
          </w:tcPr>
          <w:p w14:paraId="3AC111FB"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668D2444"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58C1C34"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4</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7B22D05A"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01A00842"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73696D51"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700.00</w:t>
            </w:r>
          </w:p>
        </w:tc>
        <w:tc>
          <w:tcPr>
            <w:tcW w:w="880" w:type="pct"/>
            <w:tcBorders>
              <w:top w:val="nil"/>
              <w:left w:val="nil"/>
              <w:bottom w:val="single" w:sz="4" w:space="0" w:color="auto"/>
              <w:right w:val="single" w:sz="4" w:space="0" w:color="auto"/>
            </w:tcBorders>
            <w:shd w:val="clear" w:color="auto" w:fill="auto"/>
            <w:noWrap/>
            <w:vAlign w:val="center"/>
          </w:tcPr>
          <w:p w14:paraId="2E93B61D"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2020/10/16</w:t>
            </w:r>
          </w:p>
        </w:tc>
        <w:tc>
          <w:tcPr>
            <w:tcW w:w="960" w:type="pct"/>
            <w:tcBorders>
              <w:top w:val="nil"/>
              <w:left w:val="nil"/>
              <w:bottom w:val="single" w:sz="4" w:space="0" w:color="auto"/>
              <w:right w:val="single" w:sz="4" w:space="0" w:color="auto"/>
            </w:tcBorders>
            <w:shd w:val="clear" w:color="auto" w:fill="auto"/>
            <w:noWrap/>
            <w:vAlign w:val="center"/>
          </w:tcPr>
          <w:p w14:paraId="73BE34F3"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2021/10/15</w:t>
            </w:r>
          </w:p>
        </w:tc>
        <w:tc>
          <w:tcPr>
            <w:tcW w:w="925" w:type="pct"/>
            <w:tcBorders>
              <w:top w:val="nil"/>
              <w:left w:val="nil"/>
              <w:bottom w:val="single" w:sz="4" w:space="0" w:color="auto"/>
              <w:right w:val="single" w:sz="4" w:space="0" w:color="auto"/>
            </w:tcBorders>
            <w:shd w:val="clear" w:color="auto" w:fill="auto"/>
            <w:noWrap/>
            <w:vAlign w:val="center"/>
          </w:tcPr>
          <w:p w14:paraId="630233E1"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499421F7"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FB52343"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5</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7316A405"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469F361F"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64EC2916"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2,000.00</w:t>
            </w:r>
          </w:p>
        </w:tc>
        <w:tc>
          <w:tcPr>
            <w:tcW w:w="880" w:type="pct"/>
            <w:tcBorders>
              <w:top w:val="nil"/>
              <w:left w:val="nil"/>
              <w:bottom w:val="single" w:sz="4" w:space="0" w:color="auto"/>
              <w:right w:val="single" w:sz="4" w:space="0" w:color="auto"/>
            </w:tcBorders>
            <w:shd w:val="clear" w:color="auto" w:fill="auto"/>
            <w:noWrap/>
            <w:vAlign w:val="center"/>
          </w:tcPr>
          <w:p w14:paraId="52F12B6D"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2020/12/10</w:t>
            </w:r>
          </w:p>
        </w:tc>
        <w:tc>
          <w:tcPr>
            <w:tcW w:w="960" w:type="pct"/>
            <w:tcBorders>
              <w:top w:val="nil"/>
              <w:left w:val="nil"/>
              <w:bottom w:val="single" w:sz="4" w:space="0" w:color="auto"/>
              <w:right w:val="single" w:sz="4" w:space="0" w:color="auto"/>
            </w:tcBorders>
            <w:shd w:val="clear" w:color="auto" w:fill="auto"/>
            <w:noWrap/>
            <w:vAlign w:val="center"/>
          </w:tcPr>
          <w:p w14:paraId="091BC6CC"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2021/12/10</w:t>
            </w:r>
          </w:p>
        </w:tc>
        <w:tc>
          <w:tcPr>
            <w:tcW w:w="925" w:type="pct"/>
            <w:tcBorders>
              <w:top w:val="nil"/>
              <w:left w:val="nil"/>
              <w:bottom w:val="single" w:sz="4" w:space="0" w:color="auto"/>
              <w:right w:val="single" w:sz="4" w:space="0" w:color="auto"/>
            </w:tcBorders>
            <w:shd w:val="clear" w:color="auto" w:fill="auto"/>
            <w:noWrap/>
            <w:vAlign w:val="center"/>
          </w:tcPr>
          <w:p w14:paraId="09A63D8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020CB006"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2E7CF1B"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6</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22011880"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1F15AA3D"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1D30A16E"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2,000.00</w:t>
            </w:r>
          </w:p>
        </w:tc>
        <w:tc>
          <w:tcPr>
            <w:tcW w:w="880" w:type="pct"/>
            <w:tcBorders>
              <w:top w:val="nil"/>
              <w:left w:val="nil"/>
              <w:bottom w:val="single" w:sz="4" w:space="0" w:color="auto"/>
              <w:right w:val="single" w:sz="4" w:space="0" w:color="auto"/>
            </w:tcBorders>
            <w:shd w:val="clear" w:color="auto" w:fill="auto"/>
            <w:noWrap/>
            <w:vAlign w:val="center"/>
          </w:tcPr>
          <w:p w14:paraId="6DADC66F"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2021/1/7</w:t>
            </w:r>
          </w:p>
        </w:tc>
        <w:tc>
          <w:tcPr>
            <w:tcW w:w="960" w:type="pct"/>
            <w:tcBorders>
              <w:top w:val="nil"/>
              <w:left w:val="nil"/>
              <w:bottom w:val="single" w:sz="4" w:space="0" w:color="auto"/>
              <w:right w:val="single" w:sz="4" w:space="0" w:color="auto"/>
            </w:tcBorders>
            <w:shd w:val="clear" w:color="auto" w:fill="auto"/>
            <w:noWrap/>
            <w:vAlign w:val="center"/>
          </w:tcPr>
          <w:p w14:paraId="3EA2897C"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2022/1/7</w:t>
            </w:r>
          </w:p>
        </w:tc>
        <w:tc>
          <w:tcPr>
            <w:tcW w:w="925" w:type="pct"/>
            <w:tcBorders>
              <w:top w:val="nil"/>
              <w:left w:val="nil"/>
              <w:bottom w:val="single" w:sz="4" w:space="0" w:color="auto"/>
              <w:right w:val="single" w:sz="4" w:space="0" w:color="auto"/>
            </w:tcBorders>
            <w:shd w:val="clear" w:color="auto" w:fill="auto"/>
            <w:noWrap/>
            <w:vAlign w:val="center"/>
          </w:tcPr>
          <w:p w14:paraId="7C8128F1"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3F4C1162"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3BC97D11"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7</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3BCFD96F"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2FD54327"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237E021E"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1,000.00</w:t>
            </w:r>
          </w:p>
        </w:tc>
        <w:tc>
          <w:tcPr>
            <w:tcW w:w="880" w:type="pct"/>
            <w:tcBorders>
              <w:top w:val="nil"/>
              <w:left w:val="nil"/>
              <w:bottom w:val="single" w:sz="4" w:space="0" w:color="auto"/>
              <w:right w:val="single" w:sz="4" w:space="0" w:color="auto"/>
            </w:tcBorders>
            <w:shd w:val="clear" w:color="auto" w:fill="auto"/>
            <w:noWrap/>
            <w:vAlign w:val="center"/>
          </w:tcPr>
          <w:p w14:paraId="3423EF4C"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2021/2/5</w:t>
            </w:r>
          </w:p>
        </w:tc>
        <w:tc>
          <w:tcPr>
            <w:tcW w:w="960" w:type="pct"/>
            <w:tcBorders>
              <w:top w:val="nil"/>
              <w:left w:val="nil"/>
              <w:bottom w:val="single" w:sz="4" w:space="0" w:color="auto"/>
              <w:right w:val="single" w:sz="4" w:space="0" w:color="auto"/>
            </w:tcBorders>
            <w:shd w:val="clear" w:color="auto" w:fill="auto"/>
            <w:noWrap/>
            <w:vAlign w:val="center"/>
          </w:tcPr>
          <w:p w14:paraId="61A00B80"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2022/2/5</w:t>
            </w:r>
          </w:p>
        </w:tc>
        <w:tc>
          <w:tcPr>
            <w:tcW w:w="925" w:type="pct"/>
            <w:tcBorders>
              <w:top w:val="nil"/>
              <w:left w:val="nil"/>
              <w:bottom w:val="single" w:sz="4" w:space="0" w:color="auto"/>
              <w:right w:val="single" w:sz="4" w:space="0" w:color="auto"/>
            </w:tcBorders>
            <w:shd w:val="clear" w:color="auto" w:fill="auto"/>
            <w:noWrap/>
            <w:vAlign w:val="center"/>
          </w:tcPr>
          <w:p w14:paraId="53E625FC"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1D0789E0"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443B876"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8</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15087B3C"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016C63A6"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36378948"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1,600.00</w:t>
            </w:r>
          </w:p>
        </w:tc>
        <w:tc>
          <w:tcPr>
            <w:tcW w:w="880" w:type="pct"/>
            <w:tcBorders>
              <w:top w:val="nil"/>
              <w:left w:val="nil"/>
              <w:bottom w:val="single" w:sz="4" w:space="0" w:color="auto"/>
              <w:right w:val="single" w:sz="4" w:space="0" w:color="auto"/>
            </w:tcBorders>
            <w:shd w:val="clear" w:color="auto" w:fill="auto"/>
            <w:noWrap/>
            <w:vAlign w:val="center"/>
          </w:tcPr>
          <w:p w14:paraId="0B9A6EEB"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2021/3/15</w:t>
            </w:r>
          </w:p>
        </w:tc>
        <w:tc>
          <w:tcPr>
            <w:tcW w:w="960" w:type="pct"/>
            <w:tcBorders>
              <w:top w:val="nil"/>
              <w:left w:val="nil"/>
              <w:bottom w:val="single" w:sz="4" w:space="0" w:color="auto"/>
              <w:right w:val="single" w:sz="4" w:space="0" w:color="auto"/>
            </w:tcBorders>
            <w:shd w:val="clear" w:color="auto" w:fill="auto"/>
            <w:noWrap/>
            <w:vAlign w:val="center"/>
          </w:tcPr>
          <w:p w14:paraId="3E9DF18E"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2022/3/15</w:t>
            </w:r>
          </w:p>
        </w:tc>
        <w:tc>
          <w:tcPr>
            <w:tcW w:w="925" w:type="pct"/>
            <w:tcBorders>
              <w:top w:val="nil"/>
              <w:left w:val="nil"/>
              <w:bottom w:val="single" w:sz="4" w:space="0" w:color="auto"/>
              <w:right w:val="single" w:sz="4" w:space="0" w:color="auto"/>
            </w:tcBorders>
            <w:shd w:val="clear" w:color="auto" w:fill="auto"/>
            <w:noWrap/>
            <w:vAlign w:val="center"/>
          </w:tcPr>
          <w:p w14:paraId="4C48B9AA"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2D650736"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541050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9</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6A6BCA24"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4436C209" w14:textId="77777777" w:rsidR="00BD3166" w:rsidRDefault="00C64679">
            <w:pPr>
              <w:widowControl/>
              <w:jc w:val="lef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工商银行</w:t>
            </w:r>
          </w:p>
        </w:tc>
        <w:tc>
          <w:tcPr>
            <w:tcW w:w="719" w:type="pct"/>
            <w:tcBorders>
              <w:top w:val="nil"/>
              <w:left w:val="nil"/>
              <w:bottom w:val="single" w:sz="4" w:space="0" w:color="auto"/>
              <w:right w:val="single" w:sz="4" w:space="0" w:color="auto"/>
            </w:tcBorders>
            <w:shd w:val="clear" w:color="auto" w:fill="auto"/>
            <w:noWrap/>
            <w:vAlign w:val="center"/>
          </w:tcPr>
          <w:p w14:paraId="03BEAFE3"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1,000.00</w:t>
            </w:r>
          </w:p>
        </w:tc>
        <w:tc>
          <w:tcPr>
            <w:tcW w:w="880" w:type="pct"/>
            <w:tcBorders>
              <w:top w:val="nil"/>
              <w:left w:val="nil"/>
              <w:bottom w:val="single" w:sz="4" w:space="0" w:color="auto"/>
              <w:right w:val="single" w:sz="4" w:space="0" w:color="auto"/>
            </w:tcBorders>
            <w:shd w:val="clear" w:color="auto" w:fill="auto"/>
            <w:noWrap/>
            <w:vAlign w:val="center"/>
          </w:tcPr>
          <w:p w14:paraId="456E380F"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2021/3/29</w:t>
            </w:r>
          </w:p>
        </w:tc>
        <w:tc>
          <w:tcPr>
            <w:tcW w:w="960" w:type="pct"/>
            <w:tcBorders>
              <w:top w:val="nil"/>
              <w:left w:val="nil"/>
              <w:bottom w:val="single" w:sz="4" w:space="0" w:color="auto"/>
              <w:right w:val="single" w:sz="4" w:space="0" w:color="auto"/>
            </w:tcBorders>
            <w:shd w:val="clear" w:color="auto" w:fill="auto"/>
            <w:noWrap/>
            <w:vAlign w:val="center"/>
          </w:tcPr>
          <w:p w14:paraId="306971D0"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2022/3/25</w:t>
            </w:r>
          </w:p>
        </w:tc>
        <w:tc>
          <w:tcPr>
            <w:tcW w:w="925" w:type="pct"/>
            <w:tcBorders>
              <w:top w:val="nil"/>
              <w:left w:val="nil"/>
              <w:bottom w:val="single" w:sz="4" w:space="0" w:color="auto"/>
              <w:right w:val="single" w:sz="4" w:space="0" w:color="auto"/>
            </w:tcBorders>
            <w:shd w:val="clear" w:color="auto" w:fill="auto"/>
            <w:noWrap/>
            <w:vAlign w:val="center"/>
          </w:tcPr>
          <w:p w14:paraId="584014A6"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1164469A"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17D27378"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10</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7FA475B1"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634402DB"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432E79A1"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700.00</w:t>
            </w:r>
          </w:p>
        </w:tc>
        <w:tc>
          <w:tcPr>
            <w:tcW w:w="880" w:type="pct"/>
            <w:tcBorders>
              <w:top w:val="nil"/>
              <w:left w:val="nil"/>
              <w:bottom w:val="single" w:sz="4" w:space="0" w:color="auto"/>
              <w:right w:val="single" w:sz="4" w:space="0" w:color="auto"/>
            </w:tcBorders>
            <w:shd w:val="clear" w:color="auto" w:fill="auto"/>
            <w:noWrap/>
            <w:vAlign w:val="center"/>
          </w:tcPr>
          <w:p w14:paraId="68FCE8CE"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2021/5/8</w:t>
            </w:r>
          </w:p>
        </w:tc>
        <w:tc>
          <w:tcPr>
            <w:tcW w:w="960" w:type="pct"/>
            <w:tcBorders>
              <w:top w:val="nil"/>
              <w:left w:val="nil"/>
              <w:bottom w:val="single" w:sz="4" w:space="0" w:color="auto"/>
              <w:right w:val="single" w:sz="4" w:space="0" w:color="auto"/>
            </w:tcBorders>
            <w:shd w:val="clear" w:color="auto" w:fill="auto"/>
            <w:noWrap/>
            <w:vAlign w:val="center"/>
          </w:tcPr>
          <w:p w14:paraId="497C2670"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2022/5/6</w:t>
            </w:r>
          </w:p>
        </w:tc>
        <w:tc>
          <w:tcPr>
            <w:tcW w:w="925" w:type="pct"/>
            <w:tcBorders>
              <w:top w:val="nil"/>
              <w:left w:val="nil"/>
              <w:bottom w:val="single" w:sz="4" w:space="0" w:color="auto"/>
              <w:right w:val="single" w:sz="4" w:space="0" w:color="auto"/>
            </w:tcBorders>
            <w:shd w:val="clear" w:color="auto" w:fill="auto"/>
            <w:noWrap/>
            <w:vAlign w:val="center"/>
          </w:tcPr>
          <w:p w14:paraId="3ADB7D57"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73F5E3D5"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EF54D2C"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11</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339E78E9"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61915A02"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2036F6FD"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1,200.00</w:t>
            </w:r>
          </w:p>
        </w:tc>
        <w:tc>
          <w:tcPr>
            <w:tcW w:w="880" w:type="pct"/>
            <w:tcBorders>
              <w:top w:val="nil"/>
              <w:left w:val="nil"/>
              <w:bottom w:val="single" w:sz="4" w:space="0" w:color="auto"/>
              <w:right w:val="single" w:sz="4" w:space="0" w:color="auto"/>
            </w:tcBorders>
            <w:shd w:val="clear" w:color="auto" w:fill="auto"/>
            <w:noWrap/>
            <w:vAlign w:val="center"/>
          </w:tcPr>
          <w:p w14:paraId="77AE0FD7"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2021/5/26</w:t>
            </w:r>
          </w:p>
        </w:tc>
        <w:tc>
          <w:tcPr>
            <w:tcW w:w="960" w:type="pct"/>
            <w:tcBorders>
              <w:top w:val="nil"/>
              <w:left w:val="nil"/>
              <w:bottom w:val="single" w:sz="4" w:space="0" w:color="auto"/>
              <w:right w:val="single" w:sz="4" w:space="0" w:color="auto"/>
            </w:tcBorders>
            <w:shd w:val="clear" w:color="auto" w:fill="auto"/>
            <w:noWrap/>
            <w:vAlign w:val="center"/>
          </w:tcPr>
          <w:p w14:paraId="6BA29354"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2022/5/26</w:t>
            </w:r>
          </w:p>
        </w:tc>
        <w:tc>
          <w:tcPr>
            <w:tcW w:w="925" w:type="pct"/>
            <w:tcBorders>
              <w:top w:val="nil"/>
              <w:left w:val="nil"/>
              <w:bottom w:val="single" w:sz="4" w:space="0" w:color="auto"/>
              <w:right w:val="single" w:sz="4" w:space="0" w:color="auto"/>
            </w:tcBorders>
            <w:shd w:val="clear" w:color="auto" w:fill="auto"/>
            <w:noWrap/>
            <w:vAlign w:val="center"/>
          </w:tcPr>
          <w:p w14:paraId="56FAF0D4"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6C4AFA08"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3B325505"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12</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14F4775D"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0193D666" w14:textId="77777777" w:rsidR="00BD3166" w:rsidRDefault="00C64679">
            <w:pPr>
              <w:widowControl/>
              <w:jc w:val="lef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财务公司</w:t>
            </w:r>
          </w:p>
        </w:tc>
        <w:tc>
          <w:tcPr>
            <w:tcW w:w="719" w:type="pct"/>
            <w:tcBorders>
              <w:top w:val="nil"/>
              <w:left w:val="nil"/>
              <w:bottom w:val="single" w:sz="4" w:space="0" w:color="auto"/>
              <w:right w:val="single" w:sz="4" w:space="0" w:color="auto"/>
            </w:tcBorders>
            <w:shd w:val="clear" w:color="auto" w:fill="auto"/>
            <w:noWrap/>
            <w:vAlign w:val="center"/>
          </w:tcPr>
          <w:p w14:paraId="1F94AF98"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500.00</w:t>
            </w:r>
          </w:p>
        </w:tc>
        <w:tc>
          <w:tcPr>
            <w:tcW w:w="880" w:type="pct"/>
            <w:tcBorders>
              <w:top w:val="nil"/>
              <w:left w:val="nil"/>
              <w:bottom w:val="single" w:sz="4" w:space="0" w:color="auto"/>
              <w:right w:val="single" w:sz="4" w:space="0" w:color="auto"/>
            </w:tcBorders>
            <w:shd w:val="clear" w:color="auto" w:fill="auto"/>
            <w:noWrap/>
            <w:vAlign w:val="center"/>
          </w:tcPr>
          <w:p w14:paraId="262117F6"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2021/2/8</w:t>
            </w:r>
          </w:p>
        </w:tc>
        <w:tc>
          <w:tcPr>
            <w:tcW w:w="960" w:type="pct"/>
            <w:tcBorders>
              <w:top w:val="nil"/>
              <w:left w:val="nil"/>
              <w:bottom w:val="single" w:sz="4" w:space="0" w:color="auto"/>
              <w:right w:val="single" w:sz="4" w:space="0" w:color="auto"/>
            </w:tcBorders>
            <w:shd w:val="clear" w:color="auto" w:fill="auto"/>
            <w:noWrap/>
            <w:vAlign w:val="center"/>
          </w:tcPr>
          <w:p w14:paraId="5EA1111E"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2022/2/7</w:t>
            </w:r>
          </w:p>
        </w:tc>
        <w:tc>
          <w:tcPr>
            <w:tcW w:w="925" w:type="pct"/>
            <w:tcBorders>
              <w:top w:val="nil"/>
              <w:left w:val="nil"/>
              <w:bottom w:val="single" w:sz="4" w:space="0" w:color="auto"/>
              <w:right w:val="single" w:sz="4" w:space="0" w:color="auto"/>
            </w:tcBorders>
            <w:shd w:val="clear" w:color="auto" w:fill="auto"/>
            <w:noWrap/>
            <w:vAlign w:val="center"/>
          </w:tcPr>
          <w:p w14:paraId="641A9ECD"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567EA82C"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136703C3"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13</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7208173E"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3B70A9B3" w14:textId="77777777" w:rsidR="00BD3166" w:rsidRDefault="00C64679">
            <w:pPr>
              <w:widowControl/>
              <w:jc w:val="lef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财务公司</w:t>
            </w:r>
          </w:p>
        </w:tc>
        <w:tc>
          <w:tcPr>
            <w:tcW w:w="719" w:type="pct"/>
            <w:tcBorders>
              <w:top w:val="nil"/>
              <w:left w:val="nil"/>
              <w:bottom w:val="single" w:sz="4" w:space="0" w:color="auto"/>
              <w:right w:val="single" w:sz="4" w:space="0" w:color="auto"/>
            </w:tcBorders>
            <w:shd w:val="clear" w:color="auto" w:fill="auto"/>
            <w:noWrap/>
            <w:vAlign w:val="center"/>
          </w:tcPr>
          <w:p w14:paraId="6C2AFB63"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5,000.00</w:t>
            </w:r>
          </w:p>
        </w:tc>
        <w:tc>
          <w:tcPr>
            <w:tcW w:w="880" w:type="pct"/>
            <w:tcBorders>
              <w:top w:val="nil"/>
              <w:left w:val="nil"/>
              <w:bottom w:val="single" w:sz="4" w:space="0" w:color="auto"/>
              <w:right w:val="single" w:sz="4" w:space="0" w:color="auto"/>
            </w:tcBorders>
            <w:shd w:val="clear" w:color="auto" w:fill="auto"/>
            <w:noWrap/>
            <w:vAlign w:val="center"/>
          </w:tcPr>
          <w:p w14:paraId="47FAEA1E"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2020/9/4</w:t>
            </w:r>
          </w:p>
        </w:tc>
        <w:tc>
          <w:tcPr>
            <w:tcW w:w="960" w:type="pct"/>
            <w:tcBorders>
              <w:top w:val="nil"/>
              <w:left w:val="nil"/>
              <w:bottom w:val="single" w:sz="4" w:space="0" w:color="auto"/>
              <w:right w:val="single" w:sz="4" w:space="0" w:color="auto"/>
            </w:tcBorders>
            <w:shd w:val="clear" w:color="auto" w:fill="auto"/>
            <w:noWrap/>
            <w:vAlign w:val="center"/>
          </w:tcPr>
          <w:p w14:paraId="7FF46320"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2021/9/3</w:t>
            </w:r>
          </w:p>
        </w:tc>
        <w:tc>
          <w:tcPr>
            <w:tcW w:w="925" w:type="pct"/>
            <w:tcBorders>
              <w:top w:val="nil"/>
              <w:left w:val="nil"/>
              <w:bottom w:val="single" w:sz="4" w:space="0" w:color="auto"/>
              <w:right w:val="single" w:sz="4" w:space="0" w:color="auto"/>
            </w:tcBorders>
            <w:shd w:val="clear" w:color="auto" w:fill="auto"/>
            <w:noWrap/>
            <w:vAlign w:val="center"/>
          </w:tcPr>
          <w:p w14:paraId="5D8BC7D9"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1C66A5A4"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4067FB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14</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185F7B1C"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2202A7E8" w14:textId="77777777" w:rsidR="00BD3166" w:rsidRDefault="00C64679">
            <w:pPr>
              <w:widowControl/>
              <w:jc w:val="lef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财务公司</w:t>
            </w:r>
          </w:p>
        </w:tc>
        <w:tc>
          <w:tcPr>
            <w:tcW w:w="719" w:type="pct"/>
            <w:tcBorders>
              <w:top w:val="nil"/>
              <w:left w:val="nil"/>
              <w:bottom w:val="single" w:sz="4" w:space="0" w:color="auto"/>
              <w:right w:val="single" w:sz="4" w:space="0" w:color="auto"/>
            </w:tcBorders>
            <w:shd w:val="clear" w:color="auto" w:fill="auto"/>
            <w:noWrap/>
            <w:vAlign w:val="center"/>
          </w:tcPr>
          <w:p w14:paraId="5AF034BD"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5,000.00</w:t>
            </w:r>
          </w:p>
        </w:tc>
        <w:tc>
          <w:tcPr>
            <w:tcW w:w="880" w:type="pct"/>
            <w:tcBorders>
              <w:top w:val="nil"/>
              <w:left w:val="nil"/>
              <w:bottom w:val="single" w:sz="4" w:space="0" w:color="auto"/>
              <w:right w:val="single" w:sz="4" w:space="0" w:color="auto"/>
            </w:tcBorders>
            <w:shd w:val="clear" w:color="auto" w:fill="auto"/>
            <w:noWrap/>
            <w:vAlign w:val="center"/>
          </w:tcPr>
          <w:p w14:paraId="4C241F1C"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2020/9/10</w:t>
            </w:r>
          </w:p>
        </w:tc>
        <w:tc>
          <w:tcPr>
            <w:tcW w:w="960" w:type="pct"/>
            <w:tcBorders>
              <w:top w:val="nil"/>
              <w:left w:val="nil"/>
              <w:bottom w:val="single" w:sz="4" w:space="0" w:color="auto"/>
              <w:right w:val="single" w:sz="4" w:space="0" w:color="auto"/>
            </w:tcBorders>
            <w:shd w:val="clear" w:color="auto" w:fill="auto"/>
            <w:noWrap/>
            <w:vAlign w:val="center"/>
          </w:tcPr>
          <w:p w14:paraId="20CA56F5"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2021/9/9</w:t>
            </w:r>
          </w:p>
        </w:tc>
        <w:tc>
          <w:tcPr>
            <w:tcW w:w="925" w:type="pct"/>
            <w:tcBorders>
              <w:top w:val="nil"/>
              <w:left w:val="nil"/>
              <w:bottom w:val="single" w:sz="4" w:space="0" w:color="auto"/>
              <w:right w:val="single" w:sz="4" w:space="0" w:color="auto"/>
            </w:tcBorders>
            <w:shd w:val="clear" w:color="auto" w:fill="auto"/>
            <w:noWrap/>
            <w:vAlign w:val="center"/>
          </w:tcPr>
          <w:p w14:paraId="0D76AA0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22A866B8"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28ED5427"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15</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33C23243"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3C0F02DE" w14:textId="77777777" w:rsidR="00BD3166" w:rsidRDefault="00C64679">
            <w:pPr>
              <w:widowControl/>
              <w:jc w:val="lef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芯</w:t>
            </w:r>
            <w:proofErr w:type="gramStart"/>
            <w:r>
              <w:rPr>
                <w:rFonts w:ascii="Times New Roman" w:eastAsia="宋体" w:hAnsi="Times New Roman" w:cs="Times New Roman"/>
                <w:color w:val="000000" w:themeColor="text1"/>
                <w:kern w:val="0"/>
                <w:szCs w:val="21"/>
              </w:rPr>
              <w:t>鑫</w:t>
            </w:r>
            <w:proofErr w:type="gramEnd"/>
            <w:r>
              <w:rPr>
                <w:rFonts w:ascii="Times New Roman" w:eastAsia="宋体" w:hAnsi="Times New Roman" w:cs="Times New Roman"/>
                <w:color w:val="000000" w:themeColor="text1"/>
                <w:kern w:val="0"/>
                <w:szCs w:val="21"/>
              </w:rPr>
              <w:t>租赁</w:t>
            </w:r>
          </w:p>
        </w:tc>
        <w:tc>
          <w:tcPr>
            <w:tcW w:w="719" w:type="pct"/>
            <w:tcBorders>
              <w:top w:val="nil"/>
              <w:left w:val="nil"/>
              <w:bottom w:val="single" w:sz="4" w:space="0" w:color="auto"/>
              <w:right w:val="single" w:sz="4" w:space="0" w:color="auto"/>
            </w:tcBorders>
            <w:shd w:val="clear" w:color="auto" w:fill="auto"/>
            <w:noWrap/>
            <w:vAlign w:val="center"/>
          </w:tcPr>
          <w:p w14:paraId="26EDBFEA"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14,000.00</w:t>
            </w:r>
          </w:p>
        </w:tc>
        <w:tc>
          <w:tcPr>
            <w:tcW w:w="880" w:type="pct"/>
            <w:tcBorders>
              <w:top w:val="nil"/>
              <w:left w:val="nil"/>
              <w:bottom w:val="single" w:sz="4" w:space="0" w:color="auto"/>
              <w:right w:val="single" w:sz="4" w:space="0" w:color="auto"/>
            </w:tcBorders>
            <w:shd w:val="clear" w:color="auto" w:fill="auto"/>
            <w:noWrap/>
            <w:vAlign w:val="center"/>
          </w:tcPr>
          <w:p w14:paraId="09E82F81"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2020/6/29</w:t>
            </w:r>
          </w:p>
        </w:tc>
        <w:tc>
          <w:tcPr>
            <w:tcW w:w="960" w:type="pct"/>
            <w:tcBorders>
              <w:top w:val="nil"/>
              <w:left w:val="nil"/>
              <w:bottom w:val="single" w:sz="4" w:space="0" w:color="auto"/>
              <w:right w:val="single" w:sz="4" w:space="0" w:color="auto"/>
            </w:tcBorders>
            <w:shd w:val="clear" w:color="auto" w:fill="auto"/>
            <w:noWrap/>
            <w:vAlign w:val="center"/>
          </w:tcPr>
          <w:p w14:paraId="2B7323E2"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2023/6/28</w:t>
            </w:r>
          </w:p>
        </w:tc>
        <w:tc>
          <w:tcPr>
            <w:tcW w:w="925" w:type="pct"/>
            <w:tcBorders>
              <w:top w:val="nil"/>
              <w:left w:val="nil"/>
              <w:bottom w:val="single" w:sz="4" w:space="0" w:color="auto"/>
              <w:right w:val="single" w:sz="4" w:space="0" w:color="auto"/>
            </w:tcBorders>
            <w:shd w:val="clear" w:color="auto" w:fill="auto"/>
            <w:noWrap/>
            <w:vAlign w:val="center"/>
          </w:tcPr>
          <w:p w14:paraId="7B345B88"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融资租赁</w:t>
            </w:r>
          </w:p>
        </w:tc>
      </w:tr>
      <w:tr w:rsidR="00BD3166" w14:paraId="3D8124A8" w14:textId="77777777">
        <w:trPr>
          <w:trHeight w:val="240"/>
          <w:jc w:val="center"/>
        </w:trPr>
        <w:tc>
          <w:tcPr>
            <w:tcW w:w="877" w:type="pct"/>
            <w:gridSpan w:val="2"/>
            <w:vMerge w:val="restart"/>
            <w:tcBorders>
              <w:top w:val="single" w:sz="4" w:space="0" w:color="auto"/>
              <w:left w:val="single" w:sz="4" w:space="0" w:color="auto"/>
              <w:bottom w:val="nil"/>
              <w:right w:val="single" w:sz="4" w:space="0" w:color="000000"/>
            </w:tcBorders>
            <w:shd w:val="clear" w:color="auto" w:fill="auto"/>
            <w:noWrap/>
            <w:vAlign w:val="center"/>
          </w:tcPr>
          <w:p w14:paraId="3179737E" w14:textId="77777777" w:rsidR="00BD3166" w:rsidRDefault="00C64679">
            <w:pPr>
              <w:widowControl/>
              <w:jc w:val="center"/>
              <w:rPr>
                <w:rFonts w:ascii="Times New Roman" w:eastAsia="宋体" w:hAnsi="Times New Roman" w:cs="Times New Roman"/>
                <w:b/>
                <w:bCs/>
                <w:color w:val="000000" w:themeColor="text1"/>
                <w:kern w:val="0"/>
                <w:szCs w:val="21"/>
              </w:rPr>
            </w:pPr>
            <w:r>
              <w:rPr>
                <w:rFonts w:ascii="Times New Roman" w:eastAsia="宋体" w:hAnsi="Times New Roman" w:cs="Times New Roman" w:hint="eastAsia"/>
                <w:b/>
                <w:bCs/>
                <w:color w:val="000000" w:themeColor="text1"/>
                <w:kern w:val="0"/>
                <w:szCs w:val="21"/>
              </w:rPr>
              <w:t>小计</w:t>
            </w:r>
          </w:p>
        </w:tc>
        <w:tc>
          <w:tcPr>
            <w:tcW w:w="639" w:type="pct"/>
            <w:tcBorders>
              <w:top w:val="nil"/>
              <w:left w:val="nil"/>
              <w:bottom w:val="single" w:sz="4" w:space="0" w:color="auto"/>
              <w:right w:val="single" w:sz="4" w:space="0" w:color="auto"/>
            </w:tcBorders>
            <w:shd w:val="clear" w:color="auto" w:fill="auto"/>
            <w:noWrap/>
            <w:vAlign w:val="center"/>
          </w:tcPr>
          <w:p w14:paraId="1B5069AA" w14:textId="77777777" w:rsidR="00BD3166" w:rsidRDefault="00C64679">
            <w:pPr>
              <w:widowControl/>
              <w:jc w:val="lef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银行借款</w:t>
            </w:r>
          </w:p>
        </w:tc>
        <w:tc>
          <w:tcPr>
            <w:tcW w:w="719" w:type="pct"/>
            <w:tcBorders>
              <w:top w:val="nil"/>
              <w:left w:val="nil"/>
              <w:bottom w:val="single" w:sz="4" w:space="0" w:color="auto"/>
              <w:right w:val="single" w:sz="4" w:space="0" w:color="auto"/>
            </w:tcBorders>
            <w:shd w:val="clear" w:color="auto" w:fill="auto"/>
            <w:noWrap/>
            <w:vAlign w:val="center"/>
          </w:tcPr>
          <w:p w14:paraId="76F25DC5" w14:textId="77777777" w:rsidR="00BD3166" w:rsidRDefault="00C64679">
            <w:pPr>
              <w:widowControl/>
              <w:jc w:val="righ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14,500.00</w:t>
            </w:r>
          </w:p>
        </w:tc>
        <w:tc>
          <w:tcPr>
            <w:tcW w:w="880" w:type="pct"/>
            <w:tcBorders>
              <w:top w:val="nil"/>
              <w:left w:val="nil"/>
              <w:bottom w:val="single" w:sz="4" w:space="0" w:color="auto"/>
              <w:right w:val="single" w:sz="4" w:space="0" w:color="auto"/>
            </w:tcBorders>
            <w:shd w:val="clear" w:color="auto" w:fill="auto"/>
            <w:noWrap/>
            <w:vAlign w:val="center"/>
          </w:tcPr>
          <w:p w14:paraId="4B04458D" w14:textId="77777777" w:rsidR="00BD3166" w:rsidRDefault="00BD3166">
            <w:pPr>
              <w:widowControl/>
              <w:jc w:val="right"/>
              <w:rPr>
                <w:rFonts w:ascii="Times New Roman" w:eastAsia="宋体" w:hAnsi="Times New Roman" w:cs="Times New Roman"/>
                <w:b/>
                <w:bCs/>
                <w:color w:val="000000" w:themeColor="text1"/>
                <w:kern w:val="0"/>
                <w:szCs w:val="21"/>
              </w:rPr>
            </w:pPr>
          </w:p>
        </w:tc>
        <w:tc>
          <w:tcPr>
            <w:tcW w:w="960" w:type="pct"/>
            <w:tcBorders>
              <w:top w:val="nil"/>
              <w:left w:val="nil"/>
              <w:bottom w:val="single" w:sz="4" w:space="0" w:color="auto"/>
              <w:right w:val="single" w:sz="4" w:space="0" w:color="auto"/>
            </w:tcBorders>
            <w:shd w:val="clear" w:color="auto" w:fill="auto"/>
            <w:noWrap/>
            <w:vAlign w:val="center"/>
          </w:tcPr>
          <w:p w14:paraId="7DED1D24" w14:textId="77777777" w:rsidR="00BD3166" w:rsidRDefault="00BD3166">
            <w:pPr>
              <w:widowControl/>
              <w:jc w:val="right"/>
              <w:rPr>
                <w:rFonts w:ascii="Times New Roman" w:eastAsia="宋体" w:hAnsi="Times New Roman" w:cs="Times New Roman"/>
                <w:b/>
                <w:bCs/>
                <w:color w:val="000000" w:themeColor="text1"/>
                <w:kern w:val="0"/>
                <w:szCs w:val="21"/>
              </w:rPr>
            </w:pPr>
          </w:p>
        </w:tc>
        <w:tc>
          <w:tcPr>
            <w:tcW w:w="925" w:type="pct"/>
            <w:tcBorders>
              <w:top w:val="nil"/>
              <w:left w:val="nil"/>
              <w:bottom w:val="single" w:sz="4" w:space="0" w:color="auto"/>
              <w:right w:val="single" w:sz="4" w:space="0" w:color="auto"/>
            </w:tcBorders>
            <w:shd w:val="clear" w:color="auto" w:fill="auto"/>
            <w:noWrap/>
            <w:vAlign w:val="center"/>
          </w:tcPr>
          <w:p w14:paraId="0C83F600" w14:textId="77777777" w:rsidR="00BD3166" w:rsidRDefault="00BD3166">
            <w:pPr>
              <w:widowControl/>
              <w:jc w:val="center"/>
              <w:rPr>
                <w:rFonts w:ascii="Times New Roman" w:eastAsia="宋体" w:hAnsi="Times New Roman" w:cs="Times New Roman"/>
                <w:b/>
                <w:bCs/>
                <w:color w:val="000000" w:themeColor="text1"/>
                <w:kern w:val="0"/>
                <w:szCs w:val="21"/>
              </w:rPr>
            </w:pPr>
          </w:p>
        </w:tc>
      </w:tr>
      <w:tr w:rsidR="00BD3166" w14:paraId="10982EBB" w14:textId="77777777">
        <w:trPr>
          <w:trHeight w:val="240"/>
          <w:jc w:val="center"/>
        </w:trPr>
        <w:tc>
          <w:tcPr>
            <w:tcW w:w="877" w:type="pct"/>
            <w:gridSpan w:val="2"/>
            <w:vMerge/>
            <w:tcBorders>
              <w:top w:val="single" w:sz="4" w:space="0" w:color="auto"/>
              <w:left w:val="single" w:sz="4" w:space="0" w:color="auto"/>
              <w:bottom w:val="nil"/>
              <w:right w:val="single" w:sz="4" w:space="0" w:color="000000"/>
            </w:tcBorders>
            <w:shd w:val="clear" w:color="auto" w:fill="auto"/>
            <w:vAlign w:val="center"/>
          </w:tcPr>
          <w:p w14:paraId="1E6825E3" w14:textId="77777777" w:rsidR="00BD3166" w:rsidRDefault="00BD3166">
            <w:pPr>
              <w:widowControl/>
              <w:jc w:val="left"/>
              <w:rPr>
                <w:rFonts w:ascii="Times New Roman" w:eastAsia="宋体" w:hAnsi="Times New Roman" w:cs="Times New Roman"/>
                <w:b/>
                <w:bCs/>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1C823BAD" w14:textId="77777777" w:rsidR="00BD3166" w:rsidRDefault="00C64679">
            <w:pPr>
              <w:widowControl/>
              <w:jc w:val="lef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财务公司借款</w:t>
            </w:r>
          </w:p>
        </w:tc>
        <w:tc>
          <w:tcPr>
            <w:tcW w:w="719" w:type="pct"/>
            <w:tcBorders>
              <w:top w:val="nil"/>
              <w:left w:val="nil"/>
              <w:bottom w:val="single" w:sz="4" w:space="0" w:color="auto"/>
              <w:right w:val="single" w:sz="4" w:space="0" w:color="auto"/>
            </w:tcBorders>
            <w:shd w:val="clear" w:color="auto" w:fill="auto"/>
            <w:noWrap/>
            <w:vAlign w:val="center"/>
          </w:tcPr>
          <w:p w14:paraId="4B3816E4" w14:textId="77777777" w:rsidR="00BD3166" w:rsidRDefault="00C64679">
            <w:pPr>
              <w:widowControl/>
              <w:jc w:val="righ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10,500.00</w:t>
            </w:r>
          </w:p>
        </w:tc>
        <w:tc>
          <w:tcPr>
            <w:tcW w:w="880" w:type="pct"/>
            <w:tcBorders>
              <w:top w:val="nil"/>
              <w:left w:val="nil"/>
              <w:bottom w:val="single" w:sz="4" w:space="0" w:color="auto"/>
              <w:right w:val="single" w:sz="4" w:space="0" w:color="auto"/>
            </w:tcBorders>
            <w:shd w:val="clear" w:color="auto" w:fill="auto"/>
            <w:noWrap/>
            <w:vAlign w:val="center"/>
          </w:tcPr>
          <w:p w14:paraId="41D307C3" w14:textId="77777777" w:rsidR="00BD3166" w:rsidRDefault="00BD3166">
            <w:pPr>
              <w:widowControl/>
              <w:jc w:val="right"/>
              <w:rPr>
                <w:rFonts w:ascii="Times New Roman" w:eastAsia="宋体" w:hAnsi="Times New Roman" w:cs="Times New Roman"/>
                <w:b/>
                <w:bCs/>
                <w:color w:val="000000" w:themeColor="text1"/>
                <w:kern w:val="0"/>
                <w:szCs w:val="21"/>
              </w:rPr>
            </w:pPr>
          </w:p>
        </w:tc>
        <w:tc>
          <w:tcPr>
            <w:tcW w:w="960" w:type="pct"/>
            <w:tcBorders>
              <w:top w:val="nil"/>
              <w:left w:val="nil"/>
              <w:bottom w:val="single" w:sz="4" w:space="0" w:color="auto"/>
              <w:right w:val="single" w:sz="4" w:space="0" w:color="auto"/>
            </w:tcBorders>
            <w:shd w:val="clear" w:color="auto" w:fill="auto"/>
            <w:noWrap/>
            <w:vAlign w:val="center"/>
          </w:tcPr>
          <w:p w14:paraId="57DDA2FF" w14:textId="77777777" w:rsidR="00BD3166" w:rsidRDefault="00BD3166">
            <w:pPr>
              <w:widowControl/>
              <w:jc w:val="right"/>
              <w:rPr>
                <w:rFonts w:ascii="Times New Roman" w:eastAsia="宋体" w:hAnsi="Times New Roman" w:cs="Times New Roman"/>
                <w:b/>
                <w:bCs/>
                <w:color w:val="000000" w:themeColor="text1"/>
                <w:kern w:val="0"/>
                <w:szCs w:val="21"/>
              </w:rPr>
            </w:pPr>
          </w:p>
        </w:tc>
        <w:tc>
          <w:tcPr>
            <w:tcW w:w="925" w:type="pct"/>
            <w:tcBorders>
              <w:top w:val="nil"/>
              <w:left w:val="nil"/>
              <w:bottom w:val="single" w:sz="4" w:space="0" w:color="auto"/>
              <w:right w:val="single" w:sz="4" w:space="0" w:color="auto"/>
            </w:tcBorders>
            <w:shd w:val="clear" w:color="auto" w:fill="auto"/>
            <w:noWrap/>
            <w:vAlign w:val="center"/>
          </w:tcPr>
          <w:p w14:paraId="6CC304B3" w14:textId="77777777" w:rsidR="00BD3166" w:rsidRDefault="00BD3166">
            <w:pPr>
              <w:widowControl/>
              <w:jc w:val="center"/>
              <w:rPr>
                <w:rFonts w:ascii="Times New Roman" w:eastAsia="宋体" w:hAnsi="Times New Roman" w:cs="Times New Roman"/>
                <w:b/>
                <w:bCs/>
                <w:color w:val="000000" w:themeColor="text1"/>
                <w:kern w:val="0"/>
                <w:szCs w:val="21"/>
              </w:rPr>
            </w:pPr>
          </w:p>
        </w:tc>
      </w:tr>
      <w:tr w:rsidR="00BD3166" w14:paraId="63E3588A" w14:textId="77777777">
        <w:trPr>
          <w:trHeight w:val="240"/>
          <w:jc w:val="center"/>
        </w:trPr>
        <w:tc>
          <w:tcPr>
            <w:tcW w:w="877" w:type="pct"/>
            <w:gridSpan w:val="2"/>
            <w:vMerge/>
            <w:tcBorders>
              <w:top w:val="single" w:sz="4" w:space="0" w:color="auto"/>
              <w:left w:val="single" w:sz="4" w:space="0" w:color="auto"/>
              <w:bottom w:val="nil"/>
              <w:right w:val="single" w:sz="4" w:space="0" w:color="000000"/>
            </w:tcBorders>
            <w:shd w:val="clear" w:color="auto" w:fill="auto"/>
            <w:vAlign w:val="center"/>
          </w:tcPr>
          <w:p w14:paraId="39457E65" w14:textId="77777777" w:rsidR="00BD3166" w:rsidRDefault="00BD3166">
            <w:pPr>
              <w:widowControl/>
              <w:jc w:val="left"/>
              <w:rPr>
                <w:rFonts w:ascii="Times New Roman" w:eastAsia="宋体" w:hAnsi="Times New Roman" w:cs="Times New Roman"/>
                <w:b/>
                <w:bCs/>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3A0EC6F4" w14:textId="77777777" w:rsidR="00BD3166" w:rsidRDefault="00C64679">
            <w:pPr>
              <w:widowControl/>
              <w:jc w:val="lef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融资租赁借款</w:t>
            </w:r>
          </w:p>
        </w:tc>
        <w:tc>
          <w:tcPr>
            <w:tcW w:w="719" w:type="pct"/>
            <w:tcBorders>
              <w:top w:val="nil"/>
              <w:left w:val="nil"/>
              <w:bottom w:val="single" w:sz="4" w:space="0" w:color="auto"/>
              <w:right w:val="single" w:sz="4" w:space="0" w:color="auto"/>
            </w:tcBorders>
            <w:shd w:val="clear" w:color="auto" w:fill="auto"/>
            <w:noWrap/>
            <w:vAlign w:val="center"/>
          </w:tcPr>
          <w:p w14:paraId="63F34572" w14:textId="77777777" w:rsidR="00BD3166" w:rsidRDefault="00C64679">
            <w:pPr>
              <w:widowControl/>
              <w:jc w:val="righ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14,000.00</w:t>
            </w:r>
          </w:p>
        </w:tc>
        <w:tc>
          <w:tcPr>
            <w:tcW w:w="880" w:type="pct"/>
            <w:tcBorders>
              <w:top w:val="nil"/>
              <w:left w:val="nil"/>
              <w:bottom w:val="single" w:sz="4" w:space="0" w:color="auto"/>
              <w:right w:val="single" w:sz="4" w:space="0" w:color="auto"/>
            </w:tcBorders>
            <w:shd w:val="clear" w:color="auto" w:fill="auto"/>
            <w:noWrap/>
            <w:vAlign w:val="center"/>
          </w:tcPr>
          <w:p w14:paraId="06BC1935" w14:textId="77777777" w:rsidR="00BD3166" w:rsidRDefault="00BD3166">
            <w:pPr>
              <w:widowControl/>
              <w:jc w:val="left"/>
              <w:rPr>
                <w:rFonts w:ascii="Times New Roman" w:eastAsia="宋体" w:hAnsi="Times New Roman" w:cs="Times New Roman"/>
                <w:b/>
                <w:bCs/>
                <w:color w:val="000000" w:themeColor="text1"/>
                <w:kern w:val="0"/>
                <w:szCs w:val="21"/>
              </w:rPr>
            </w:pPr>
          </w:p>
        </w:tc>
        <w:tc>
          <w:tcPr>
            <w:tcW w:w="960" w:type="pct"/>
            <w:tcBorders>
              <w:top w:val="nil"/>
              <w:left w:val="nil"/>
              <w:bottom w:val="single" w:sz="4" w:space="0" w:color="auto"/>
              <w:right w:val="single" w:sz="4" w:space="0" w:color="auto"/>
            </w:tcBorders>
            <w:shd w:val="clear" w:color="auto" w:fill="auto"/>
            <w:noWrap/>
            <w:vAlign w:val="center"/>
          </w:tcPr>
          <w:p w14:paraId="791FC437" w14:textId="77777777" w:rsidR="00BD3166" w:rsidRDefault="00BD3166">
            <w:pPr>
              <w:widowControl/>
              <w:jc w:val="left"/>
              <w:rPr>
                <w:rFonts w:ascii="Times New Roman" w:eastAsia="宋体" w:hAnsi="Times New Roman" w:cs="Times New Roman"/>
                <w:b/>
                <w:bCs/>
                <w:color w:val="000000" w:themeColor="text1"/>
                <w:kern w:val="0"/>
                <w:szCs w:val="21"/>
              </w:rPr>
            </w:pPr>
          </w:p>
        </w:tc>
        <w:tc>
          <w:tcPr>
            <w:tcW w:w="925" w:type="pct"/>
            <w:tcBorders>
              <w:top w:val="nil"/>
              <w:left w:val="nil"/>
              <w:bottom w:val="single" w:sz="4" w:space="0" w:color="auto"/>
              <w:right w:val="single" w:sz="4" w:space="0" w:color="auto"/>
            </w:tcBorders>
            <w:shd w:val="clear" w:color="auto" w:fill="auto"/>
            <w:noWrap/>
            <w:vAlign w:val="center"/>
          </w:tcPr>
          <w:p w14:paraId="52B77A80" w14:textId="77777777" w:rsidR="00BD3166" w:rsidRDefault="00BD3166">
            <w:pPr>
              <w:widowControl/>
              <w:jc w:val="center"/>
              <w:rPr>
                <w:rFonts w:ascii="Times New Roman" w:eastAsia="宋体" w:hAnsi="Times New Roman" w:cs="Times New Roman"/>
                <w:b/>
                <w:bCs/>
                <w:color w:val="000000" w:themeColor="text1"/>
                <w:kern w:val="0"/>
                <w:szCs w:val="21"/>
              </w:rPr>
            </w:pPr>
          </w:p>
        </w:tc>
      </w:tr>
      <w:tr w:rsidR="00BD3166" w14:paraId="457F3964" w14:textId="77777777">
        <w:trPr>
          <w:trHeight w:val="240"/>
          <w:jc w:val="center"/>
        </w:trPr>
        <w:tc>
          <w:tcPr>
            <w:tcW w:w="877" w:type="pct"/>
            <w:gridSpan w:val="2"/>
            <w:vMerge/>
            <w:tcBorders>
              <w:top w:val="single" w:sz="4" w:space="0" w:color="auto"/>
              <w:left w:val="single" w:sz="4" w:space="0" w:color="auto"/>
              <w:bottom w:val="nil"/>
              <w:right w:val="single" w:sz="4" w:space="0" w:color="000000"/>
            </w:tcBorders>
            <w:shd w:val="clear" w:color="auto" w:fill="auto"/>
            <w:vAlign w:val="center"/>
          </w:tcPr>
          <w:p w14:paraId="23C89062" w14:textId="77777777" w:rsidR="00BD3166" w:rsidRDefault="00BD3166">
            <w:pPr>
              <w:widowControl/>
              <w:jc w:val="left"/>
              <w:rPr>
                <w:rFonts w:ascii="Times New Roman" w:eastAsia="宋体" w:hAnsi="Times New Roman" w:cs="Times New Roman"/>
                <w:b/>
                <w:bCs/>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6057C8CE" w14:textId="77777777" w:rsidR="00BD3166" w:rsidRDefault="00C64679">
            <w:pPr>
              <w:widowControl/>
              <w:jc w:val="lef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小计</w:t>
            </w:r>
          </w:p>
        </w:tc>
        <w:tc>
          <w:tcPr>
            <w:tcW w:w="719" w:type="pct"/>
            <w:tcBorders>
              <w:top w:val="nil"/>
              <w:left w:val="nil"/>
              <w:bottom w:val="single" w:sz="4" w:space="0" w:color="auto"/>
              <w:right w:val="single" w:sz="4" w:space="0" w:color="auto"/>
            </w:tcBorders>
            <w:shd w:val="clear" w:color="auto" w:fill="auto"/>
            <w:noWrap/>
            <w:vAlign w:val="center"/>
          </w:tcPr>
          <w:p w14:paraId="22BF726F" w14:textId="77777777" w:rsidR="00BD3166" w:rsidRDefault="00C64679">
            <w:pPr>
              <w:widowControl/>
              <w:jc w:val="righ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39,000.00</w:t>
            </w:r>
          </w:p>
        </w:tc>
        <w:tc>
          <w:tcPr>
            <w:tcW w:w="880" w:type="pct"/>
            <w:tcBorders>
              <w:top w:val="nil"/>
              <w:left w:val="nil"/>
              <w:bottom w:val="single" w:sz="4" w:space="0" w:color="auto"/>
              <w:right w:val="single" w:sz="4" w:space="0" w:color="auto"/>
            </w:tcBorders>
            <w:shd w:val="clear" w:color="auto" w:fill="auto"/>
            <w:noWrap/>
            <w:vAlign w:val="center"/>
          </w:tcPr>
          <w:p w14:paraId="2595DFDF" w14:textId="77777777" w:rsidR="00BD3166" w:rsidRDefault="00BD3166">
            <w:pPr>
              <w:widowControl/>
              <w:jc w:val="left"/>
              <w:rPr>
                <w:rFonts w:ascii="Times New Roman" w:eastAsia="宋体" w:hAnsi="Times New Roman" w:cs="Times New Roman"/>
                <w:b/>
                <w:bCs/>
                <w:color w:val="000000" w:themeColor="text1"/>
                <w:kern w:val="0"/>
                <w:szCs w:val="21"/>
              </w:rPr>
            </w:pPr>
          </w:p>
        </w:tc>
        <w:tc>
          <w:tcPr>
            <w:tcW w:w="960" w:type="pct"/>
            <w:tcBorders>
              <w:top w:val="nil"/>
              <w:left w:val="nil"/>
              <w:bottom w:val="single" w:sz="4" w:space="0" w:color="auto"/>
              <w:right w:val="single" w:sz="4" w:space="0" w:color="auto"/>
            </w:tcBorders>
            <w:shd w:val="clear" w:color="auto" w:fill="auto"/>
            <w:noWrap/>
            <w:vAlign w:val="center"/>
          </w:tcPr>
          <w:p w14:paraId="01BA35CC" w14:textId="77777777" w:rsidR="00BD3166" w:rsidRDefault="00BD3166">
            <w:pPr>
              <w:widowControl/>
              <w:jc w:val="left"/>
              <w:rPr>
                <w:rFonts w:ascii="Times New Roman" w:eastAsia="宋体" w:hAnsi="Times New Roman" w:cs="Times New Roman"/>
                <w:b/>
                <w:bCs/>
                <w:color w:val="000000" w:themeColor="text1"/>
                <w:kern w:val="0"/>
                <w:szCs w:val="21"/>
              </w:rPr>
            </w:pPr>
          </w:p>
        </w:tc>
        <w:tc>
          <w:tcPr>
            <w:tcW w:w="925" w:type="pct"/>
            <w:tcBorders>
              <w:top w:val="nil"/>
              <w:left w:val="nil"/>
              <w:bottom w:val="single" w:sz="4" w:space="0" w:color="auto"/>
              <w:right w:val="single" w:sz="4" w:space="0" w:color="auto"/>
            </w:tcBorders>
            <w:shd w:val="clear" w:color="auto" w:fill="auto"/>
            <w:noWrap/>
            <w:vAlign w:val="center"/>
          </w:tcPr>
          <w:p w14:paraId="5FAE8708" w14:textId="77777777" w:rsidR="00BD3166" w:rsidRDefault="00BD3166">
            <w:pPr>
              <w:widowControl/>
              <w:jc w:val="center"/>
              <w:rPr>
                <w:rFonts w:ascii="Times New Roman" w:eastAsia="宋体" w:hAnsi="Times New Roman" w:cs="Times New Roman"/>
                <w:b/>
                <w:bCs/>
                <w:color w:val="000000" w:themeColor="text1"/>
                <w:kern w:val="0"/>
                <w:szCs w:val="21"/>
              </w:rPr>
            </w:pPr>
          </w:p>
        </w:tc>
      </w:tr>
      <w:tr w:rsidR="00BD3166" w14:paraId="0024462B" w14:textId="77777777">
        <w:trPr>
          <w:trHeight w:val="285"/>
          <w:jc w:val="center"/>
        </w:trPr>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988FF"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w:t>
            </w:r>
          </w:p>
        </w:tc>
        <w:tc>
          <w:tcPr>
            <w:tcW w:w="51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A99660C"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大唐</w:t>
            </w:r>
            <w:r>
              <w:rPr>
                <w:rFonts w:ascii="Times New Roman" w:eastAsia="宋体" w:hAnsi="Times New Roman" w:cs="Times New Roman" w:hint="eastAsia"/>
                <w:color w:val="000000"/>
                <w:sz w:val="24"/>
                <w:szCs w:val="24"/>
              </w:rPr>
              <w:t>电信</w:t>
            </w:r>
          </w:p>
        </w:tc>
        <w:tc>
          <w:tcPr>
            <w:tcW w:w="639" w:type="pct"/>
            <w:tcBorders>
              <w:top w:val="nil"/>
              <w:left w:val="nil"/>
              <w:bottom w:val="single" w:sz="4" w:space="0" w:color="auto"/>
              <w:right w:val="single" w:sz="4" w:space="0" w:color="auto"/>
            </w:tcBorders>
            <w:shd w:val="clear" w:color="auto" w:fill="auto"/>
            <w:noWrap/>
            <w:vAlign w:val="center"/>
          </w:tcPr>
          <w:p w14:paraId="09EC91CF"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53A2758F"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244.00</w:t>
            </w:r>
          </w:p>
        </w:tc>
        <w:tc>
          <w:tcPr>
            <w:tcW w:w="880" w:type="pct"/>
            <w:tcBorders>
              <w:top w:val="nil"/>
              <w:left w:val="nil"/>
              <w:bottom w:val="single" w:sz="4" w:space="0" w:color="auto"/>
              <w:right w:val="single" w:sz="4" w:space="0" w:color="auto"/>
            </w:tcBorders>
            <w:shd w:val="clear" w:color="auto" w:fill="auto"/>
            <w:noWrap/>
            <w:vAlign w:val="center"/>
          </w:tcPr>
          <w:p w14:paraId="1A84D41B"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2020/7/6</w:t>
            </w:r>
          </w:p>
        </w:tc>
        <w:tc>
          <w:tcPr>
            <w:tcW w:w="960" w:type="pct"/>
            <w:tcBorders>
              <w:top w:val="nil"/>
              <w:left w:val="nil"/>
              <w:bottom w:val="single" w:sz="4" w:space="0" w:color="auto"/>
              <w:right w:val="single" w:sz="4" w:space="0" w:color="auto"/>
            </w:tcBorders>
            <w:shd w:val="clear" w:color="auto" w:fill="auto"/>
            <w:noWrap/>
            <w:vAlign w:val="center"/>
          </w:tcPr>
          <w:p w14:paraId="74C9CB86"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2021/7/6</w:t>
            </w:r>
          </w:p>
        </w:tc>
        <w:tc>
          <w:tcPr>
            <w:tcW w:w="925" w:type="pct"/>
            <w:tcBorders>
              <w:top w:val="nil"/>
              <w:left w:val="nil"/>
              <w:bottom w:val="single" w:sz="4" w:space="0" w:color="auto"/>
              <w:right w:val="single" w:sz="4" w:space="0" w:color="auto"/>
            </w:tcBorders>
            <w:shd w:val="clear" w:color="auto" w:fill="auto"/>
            <w:noWrap/>
            <w:vAlign w:val="center"/>
          </w:tcPr>
          <w:p w14:paraId="7C91CAF6"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0E696F08"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0AA48A69"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655E86C1"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7664938F"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0B7DD6BB"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752.00</w:t>
            </w:r>
          </w:p>
        </w:tc>
        <w:tc>
          <w:tcPr>
            <w:tcW w:w="880" w:type="pct"/>
            <w:tcBorders>
              <w:top w:val="nil"/>
              <w:left w:val="nil"/>
              <w:bottom w:val="single" w:sz="4" w:space="0" w:color="auto"/>
              <w:right w:val="single" w:sz="4" w:space="0" w:color="auto"/>
            </w:tcBorders>
            <w:shd w:val="clear" w:color="auto" w:fill="auto"/>
            <w:noWrap/>
            <w:vAlign w:val="center"/>
          </w:tcPr>
          <w:p w14:paraId="75A3681F"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2020/8/6</w:t>
            </w:r>
          </w:p>
        </w:tc>
        <w:tc>
          <w:tcPr>
            <w:tcW w:w="960" w:type="pct"/>
            <w:tcBorders>
              <w:top w:val="nil"/>
              <w:left w:val="nil"/>
              <w:bottom w:val="single" w:sz="4" w:space="0" w:color="auto"/>
              <w:right w:val="single" w:sz="4" w:space="0" w:color="auto"/>
            </w:tcBorders>
            <w:shd w:val="clear" w:color="auto" w:fill="auto"/>
            <w:noWrap/>
            <w:vAlign w:val="center"/>
          </w:tcPr>
          <w:p w14:paraId="18DE6334"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2021/8/6</w:t>
            </w:r>
          </w:p>
        </w:tc>
        <w:tc>
          <w:tcPr>
            <w:tcW w:w="925" w:type="pct"/>
            <w:tcBorders>
              <w:top w:val="nil"/>
              <w:left w:val="nil"/>
              <w:bottom w:val="single" w:sz="4" w:space="0" w:color="auto"/>
              <w:right w:val="single" w:sz="4" w:space="0" w:color="auto"/>
            </w:tcBorders>
            <w:shd w:val="clear" w:color="auto" w:fill="auto"/>
            <w:noWrap/>
            <w:vAlign w:val="center"/>
          </w:tcPr>
          <w:p w14:paraId="269071C6"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154BF420"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7DD53EEC"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3</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78DBECB3"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281490BB"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38011998"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240.00</w:t>
            </w:r>
          </w:p>
        </w:tc>
        <w:tc>
          <w:tcPr>
            <w:tcW w:w="880" w:type="pct"/>
            <w:tcBorders>
              <w:top w:val="nil"/>
              <w:left w:val="nil"/>
              <w:bottom w:val="single" w:sz="4" w:space="0" w:color="auto"/>
              <w:right w:val="single" w:sz="4" w:space="0" w:color="auto"/>
            </w:tcBorders>
            <w:shd w:val="clear" w:color="auto" w:fill="auto"/>
            <w:noWrap/>
            <w:vAlign w:val="center"/>
          </w:tcPr>
          <w:p w14:paraId="1D3FB6E2"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2020/9/9</w:t>
            </w:r>
          </w:p>
        </w:tc>
        <w:tc>
          <w:tcPr>
            <w:tcW w:w="960" w:type="pct"/>
            <w:tcBorders>
              <w:top w:val="nil"/>
              <w:left w:val="nil"/>
              <w:bottom w:val="single" w:sz="4" w:space="0" w:color="auto"/>
              <w:right w:val="single" w:sz="4" w:space="0" w:color="auto"/>
            </w:tcBorders>
            <w:shd w:val="clear" w:color="auto" w:fill="auto"/>
            <w:noWrap/>
            <w:vAlign w:val="center"/>
          </w:tcPr>
          <w:p w14:paraId="3057CDB3"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2021/9/9</w:t>
            </w:r>
          </w:p>
        </w:tc>
        <w:tc>
          <w:tcPr>
            <w:tcW w:w="925" w:type="pct"/>
            <w:tcBorders>
              <w:top w:val="nil"/>
              <w:left w:val="nil"/>
              <w:bottom w:val="single" w:sz="4" w:space="0" w:color="auto"/>
              <w:right w:val="single" w:sz="4" w:space="0" w:color="auto"/>
            </w:tcBorders>
            <w:shd w:val="clear" w:color="auto" w:fill="auto"/>
            <w:noWrap/>
            <w:vAlign w:val="center"/>
          </w:tcPr>
          <w:p w14:paraId="337B1E73"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06C58F03"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1DE13B01"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4</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64A164DC"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1EA74169"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11852BCB"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235.00</w:t>
            </w:r>
          </w:p>
        </w:tc>
        <w:tc>
          <w:tcPr>
            <w:tcW w:w="880" w:type="pct"/>
            <w:tcBorders>
              <w:top w:val="nil"/>
              <w:left w:val="nil"/>
              <w:bottom w:val="single" w:sz="4" w:space="0" w:color="auto"/>
              <w:right w:val="single" w:sz="4" w:space="0" w:color="auto"/>
            </w:tcBorders>
            <w:shd w:val="clear" w:color="auto" w:fill="auto"/>
            <w:noWrap/>
            <w:vAlign w:val="center"/>
          </w:tcPr>
          <w:p w14:paraId="3CEDCBA2"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2020/9/29</w:t>
            </w:r>
          </w:p>
        </w:tc>
        <w:tc>
          <w:tcPr>
            <w:tcW w:w="960" w:type="pct"/>
            <w:tcBorders>
              <w:top w:val="nil"/>
              <w:left w:val="nil"/>
              <w:bottom w:val="single" w:sz="4" w:space="0" w:color="auto"/>
              <w:right w:val="single" w:sz="4" w:space="0" w:color="auto"/>
            </w:tcBorders>
            <w:shd w:val="clear" w:color="auto" w:fill="auto"/>
            <w:noWrap/>
            <w:vAlign w:val="center"/>
          </w:tcPr>
          <w:p w14:paraId="09A9EB3C"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2021/9/29</w:t>
            </w:r>
          </w:p>
        </w:tc>
        <w:tc>
          <w:tcPr>
            <w:tcW w:w="925" w:type="pct"/>
            <w:tcBorders>
              <w:top w:val="nil"/>
              <w:left w:val="nil"/>
              <w:bottom w:val="single" w:sz="4" w:space="0" w:color="auto"/>
              <w:right w:val="single" w:sz="4" w:space="0" w:color="auto"/>
            </w:tcBorders>
            <w:shd w:val="clear" w:color="auto" w:fill="auto"/>
            <w:noWrap/>
            <w:vAlign w:val="center"/>
          </w:tcPr>
          <w:p w14:paraId="56B2070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5C2D6C29"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40C2148"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5</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4065B407"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18B84776"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709A4851"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196.00</w:t>
            </w:r>
          </w:p>
        </w:tc>
        <w:tc>
          <w:tcPr>
            <w:tcW w:w="880" w:type="pct"/>
            <w:tcBorders>
              <w:top w:val="nil"/>
              <w:left w:val="nil"/>
              <w:bottom w:val="single" w:sz="4" w:space="0" w:color="auto"/>
              <w:right w:val="single" w:sz="4" w:space="0" w:color="auto"/>
            </w:tcBorders>
            <w:shd w:val="clear" w:color="auto" w:fill="auto"/>
            <w:noWrap/>
            <w:vAlign w:val="center"/>
          </w:tcPr>
          <w:p w14:paraId="69D52C15"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2020/11/3</w:t>
            </w:r>
          </w:p>
        </w:tc>
        <w:tc>
          <w:tcPr>
            <w:tcW w:w="960" w:type="pct"/>
            <w:tcBorders>
              <w:top w:val="nil"/>
              <w:left w:val="nil"/>
              <w:bottom w:val="single" w:sz="4" w:space="0" w:color="auto"/>
              <w:right w:val="single" w:sz="4" w:space="0" w:color="auto"/>
            </w:tcBorders>
            <w:shd w:val="clear" w:color="auto" w:fill="auto"/>
            <w:noWrap/>
            <w:vAlign w:val="center"/>
          </w:tcPr>
          <w:p w14:paraId="320907C2"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2021/11/3</w:t>
            </w:r>
          </w:p>
        </w:tc>
        <w:tc>
          <w:tcPr>
            <w:tcW w:w="925" w:type="pct"/>
            <w:tcBorders>
              <w:top w:val="nil"/>
              <w:left w:val="nil"/>
              <w:bottom w:val="single" w:sz="4" w:space="0" w:color="auto"/>
              <w:right w:val="single" w:sz="4" w:space="0" w:color="auto"/>
            </w:tcBorders>
            <w:shd w:val="clear" w:color="auto" w:fill="auto"/>
            <w:noWrap/>
            <w:vAlign w:val="center"/>
          </w:tcPr>
          <w:p w14:paraId="1F7B670F"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1D2A5C11"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59B4632"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6</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40E0DC2F"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0D6BBFC2"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79A8304B"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220.00</w:t>
            </w:r>
          </w:p>
        </w:tc>
        <w:tc>
          <w:tcPr>
            <w:tcW w:w="880" w:type="pct"/>
            <w:tcBorders>
              <w:top w:val="nil"/>
              <w:left w:val="nil"/>
              <w:bottom w:val="single" w:sz="4" w:space="0" w:color="auto"/>
              <w:right w:val="single" w:sz="4" w:space="0" w:color="auto"/>
            </w:tcBorders>
            <w:shd w:val="clear" w:color="auto" w:fill="auto"/>
            <w:noWrap/>
            <w:vAlign w:val="center"/>
          </w:tcPr>
          <w:p w14:paraId="44519DA3"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2020/11/30</w:t>
            </w:r>
          </w:p>
        </w:tc>
        <w:tc>
          <w:tcPr>
            <w:tcW w:w="960" w:type="pct"/>
            <w:tcBorders>
              <w:top w:val="nil"/>
              <w:left w:val="nil"/>
              <w:bottom w:val="single" w:sz="4" w:space="0" w:color="auto"/>
              <w:right w:val="single" w:sz="4" w:space="0" w:color="auto"/>
            </w:tcBorders>
            <w:shd w:val="clear" w:color="auto" w:fill="auto"/>
            <w:noWrap/>
            <w:vAlign w:val="center"/>
          </w:tcPr>
          <w:p w14:paraId="0A1961BE"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2021/11/30</w:t>
            </w:r>
          </w:p>
        </w:tc>
        <w:tc>
          <w:tcPr>
            <w:tcW w:w="925" w:type="pct"/>
            <w:tcBorders>
              <w:top w:val="nil"/>
              <w:left w:val="nil"/>
              <w:bottom w:val="single" w:sz="4" w:space="0" w:color="auto"/>
              <w:right w:val="single" w:sz="4" w:space="0" w:color="auto"/>
            </w:tcBorders>
            <w:shd w:val="clear" w:color="auto" w:fill="auto"/>
            <w:noWrap/>
            <w:vAlign w:val="center"/>
          </w:tcPr>
          <w:p w14:paraId="0AC75C3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555BCB3B"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7D1AABB9"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7</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033AD737"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035F07F7"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6FC13DEF"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214.00</w:t>
            </w:r>
          </w:p>
        </w:tc>
        <w:tc>
          <w:tcPr>
            <w:tcW w:w="880" w:type="pct"/>
            <w:tcBorders>
              <w:top w:val="nil"/>
              <w:left w:val="nil"/>
              <w:bottom w:val="single" w:sz="4" w:space="0" w:color="auto"/>
              <w:right w:val="single" w:sz="4" w:space="0" w:color="auto"/>
            </w:tcBorders>
            <w:shd w:val="clear" w:color="auto" w:fill="auto"/>
            <w:noWrap/>
            <w:vAlign w:val="center"/>
          </w:tcPr>
          <w:p w14:paraId="6371FB4A"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2020/12/25</w:t>
            </w:r>
          </w:p>
        </w:tc>
        <w:tc>
          <w:tcPr>
            <w:tcW w:w="960" w:type="pct"/>
            <w:tcBorders>
              <w:top w:val="nil"/>
              <w:left w:val="nil"/>
              <w:bottom w:val="single" w:sz="4" w:space="0" w:color="auto"/>
              <w:right w:val="single" w:sz="4" w:space="0" w:color="auto"/>
            </w:tcBorders>
            <w:shd w:val="clear" w:color="auto" w:fill="auto"/>
            <w:noWrap/>
            <w:vAlign w:val="center"/>
          </w:tcPr>
          <w:p w14:paraId="26C23228"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2021/12/24</w:t>
            </w:r>
          </w:p>
        </w:tc>
        <w:tc>
          <w:tcPr>
            <w:tcW w:w="925" w:type="pct"/>
            <w:tcBorders>
              <w:top w:val="nil"/>
              <w:left w:val="nil"/>
              <w:bottom w:val="single" w:sz="4" w:space="0" w:color="auto"/>
              <w:right w:val="single" w:sz="4" w:space="0" w:color="auto"/>
            </w:tcBorders>
            <w:shd w:val="clear" w:color="auto" w:fill="auto"/>
            <w:noWrap/>
            <w:vAlign w:val="center"/>
          </w:tcPr>
          <w:p w14:paraId="030AEE12"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6709970D"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3D907419"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8</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69C2AF82"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6CD3F28E"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1A0D13BF"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360.00</w:t>
            </w:r>
          </w:p>
        </w:tc>
        <w:tc>
          <w:tcPr>
            <w:tcW w:w="880" w:type="pct"/>
            <w:tcBorders>
              <w:top w:val="nil"/>
              <w:left w:val="nil"/>
              <w:bottom w:val="single" w:sz="4" w:space="0" w:color="auto"/>
              <w:right w:val="single" w:sz="4" w:space="0" w:color="auto"/>
            </w:tcBorders>
            <w:shd w:val="clear" w:color="auto" w:fill="auto"/>
            <w:noWrap/>
            <w:vAlign w:val="center"/>
          </w:tcPr>
          <w:p w14:paraId="02BB3811"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2021/1/26</w:t>
            </w:r>
          </w:p>
        </w:tc>
        <w:tc>
          <w:tcPr>
            <w:tcW w:w="960" w:type="pct"/>
            <w:tcBorders>
              <w:top w:val="nil"/>
              <w:left w:val="nil"/>
              <w:bottom w:val="single" w:sz="4" w:space="0" w:color="auto"/>
              <w:right w:val="single" w:sz="4" w:space="0" w:color="auto"/>
            </w:tcBorders>
            <w:shd w:val="clear" w:color="auto" w:fill="auto"/>
            <w:noWrap/>
            <w:vAlign w:val="center"/>
          </w:tcPr>
          <w:p w14:paraId="6362A80F"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2022/1/26</w:t>
            </w:r>
          </w:p>
        </w:tc>
        <w:tc>
          <w:tcPr>
            <w:tcW w:w="925" w:type="pct"/>
            <w:tcBorders>
              <w:top w:val="nil"/>
              <w:left w:val="nil"/>
              <w:bottom w:val="single" w:sz="4" w:space="0" w:color="auto"/>
              <w:right w:val="single" w:sz="4" w:space="0" w:color="auto"/>
            </w:tcBorders>
            <w:shd w:val="clear" w:color="auto" w:fill="auto"/>
            <w:noWrap/>
            <w:vAlign w:val="center"/>
          </w:tcPr>
          <w:p w14:paraId="5AD63705"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2AEFBE43"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75F4BE90"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9</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493F8948"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25826972"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17140F89"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435.00</w:t>
            </w:r>
          </w:p>
        </w:tc>
        <w:tc>
          <w:tcPr>
            <w:tcW w:w="880" w:type="pct"/>
            <w:tcBorders>
              <w:top w:val="nil"/>
              <w:left w:val="nil"/>
              <w:bottom w:val="single" w:sz="4" w:space="0" w:color="auto"/>
              <w:right w:val="single" w:sz="4" w:space="0" w:color="auto"/>
            </w:tcBorders>
            <w:shd w:val="clear" w:color="auto" w:fill="auto"/>
            <w:noWrap/>
            <w:vAlign w:val="center"/>
          </w:tcPr>
          <w:p w14:paraId="77A4BB6E"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2021/2/5</w:t>
            </w:r>
          </w:p>
        </w:tc>
        <w:tc>
          <w:tcPr>
            <w:tcW w:w="960" w:type="pct"/>
            <w:tcBorders>
              <w:top w:val="nil"/>
              <w:left w:val="nil"/>
              <w:bottom w:val="single" w:sz="4" w:space="0" w:color="auto"/>
              <w:right w:val="single" w:sz="4" w:space="0" w:color="auto"/>
            </w:tcBorders>
            <w:shd w:val="clear" w:color="auto" w:fill="auto"/>
            <w:noWrap/>
            <w:vAlign w:val="center"/>
          </w:tcPr>
          <w:p w14:paraId="05B761CD"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2022/2/5</w:t>
            </w:r>
          </w:p>
        </w:tc>
        <w:tc>
          <w:tcPr>
            <w:tcW w:w="925" w:type="pct"/>
            <w:tcBorders>
              <w:top w:val="nil"/>
              <w:left w:val="nil"/>
              <w:bottom w:val="single" w:sz="4" w:space="0" w:color="auto"/>
              <w:right w:val="single" w:sz="4" w:space="0" w:color="auto"/>
            </w:tcBorders>
            <w:shd w:val="clear" w:color="auto" w:fill="auto"/>
            <w:noWrap/>
            <w:vAlign w:val="center"/>
          </w:tcPr>
          <w:p w14:paraId="672FAC3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1A2C4040"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A62CDDB"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10</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4B802944"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0EBC0653"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5E4B51DA"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105.00</w:t>
            </w:r>
          </w:p>
        </w:tc>
        <w:tc>
          <w:tcPr>
            <w:tcW w:w="880" w:type="pct"/>
            <w:tcBorders>
              <w:top w:val="nil"/>
              <w:left w:val="nil"/>
              <w:bottom w:val="single" w:sz="4" w:space="0" w:color="auto"/>
              <w:right w:val="single" w:sz="4" w:space="0" w:color="auto"/>
            </w:tcBorders>
            <w:shd w:val="clear" w:color="auto" w:fill="auto"/>
            <w:noWrap/>
            <w:vAlign w:val="center"/>
          </w:tcPr>
          <w:p w14:paraId="0A8FFEC7"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2021/3/2</w:t>
            </w:r>
          </w:p>
        </w:tc>
        <w:tc>
          <w:tcPr>
            <w:tcW w:w="960" w:type="pct"/>
            <w:tcBorders>
              <w:top w:val="nil"/>
              <w:left w:val="nil"/>
              <w:bottom w:val="single" w:sz="4" w:space="0" w:color="auto"/>
              <w:right w:val="single" w:sz="4" w:space="0" w:color="auto"/>
            </w:tcBorders>
            <w:shd w:val="clear" w:color="auto" w:fill="auto"/>
            <w:noWrap/>
            <w:vAlign w:val="center"/>
          </w:tcPr>
          <w:p w14:paraId="512DBEF5"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2022/3/2</w:t>
            </w:r>
          </w:p>
        </w:tc>
        <w:tc>
          <w:tcPr>
            <w:tcW w:w="925" w:type="pct"/>
            <w:tcBorders>
              <w:top w:val="nil"/>
              <w:left w:val="nil"/>
              <w:bottom w:val="single" w:sz="4" w:space="0" w:color="auto"/>
              <w:right w:val="single" w:sz="4" w:space="0" w:color="auto"/>
            </w:tcBorders>
            <w:shd w:val="clear" w:color="auto" w:fill="auto"/>
            <w:noWrap/>
            <w:vAlign w:val="center"/>
          </w:tcPr>
          <w:p w14:paraId="63038C5A"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2FCCB35A"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2EA98BC7"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11</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3964116F"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4EFD9562"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7158A412"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161.00</w:t>
            </w:r>
          </w:p>
        </w:tc>
        <w:tc>
          <w:tcPr>
            <w:tcW w:w="880" w:type="pct"/>
            <w:tcBorders>
              <w:top w:val="nil"/>
              <w:left w:val="nil"/>
              <w:bottom w:val="single" w:sz="4" w:space="0" w:color="auto"/>
              <w:right w:val="single" w:sz="4" w:space="0" w:color="auto"/>
            </w:tcBorders>
            <w:shd w:val="clear" w:color="auto" w:fill="auto"/>
            <w:noWrap/>
            <w:vAlign w:val="center"/>
          </w:tcPr>
          <w:p w14:paraId="709B2DB6"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2021/3/24</w:t>
            </w:r>
          </w:p>
        </w:tc>
        <w:tc>
          <w:tcPr>
            <w:tcW w:w="960" w:type="pct"/>
            <w:tcBorders>
              <w:top w:val="nil"/>
              <w:left w:val="nil"/>
              <w:bottom w:val="single" w:sz="4" w:space="0" w:color="auto"/>
              <w:right w:val="single" w:sz="4" w:space="0" w:color="auto"/>
            </w:tcBorders>
            <w:shd w:val="clear" w:color="auto" w:fill="auto"/>
            <w:noWrap/>
            <w:vAlign w:val="center"/>
          </w:tcPr>
          <w:p w14:paraId="0C35A3F8"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2022/3/24</w:t>
            </w:r>
          </w:p>
        </w:tc>
        <w:tc>
          <w:tcPr>
            <w:tcW w:w="925" w:type="pct"/>
            <w:tcBorders>
              <w:top w:val="nil"/>
              <w:left w:val="nil"/>
              <w:bottom w:val="single" w:sz="4" w:space="0" w:color="auto"/>
              <w:right w:val="single" w:sz="4" w:space="0" w:color="auto"/>
            </w:tcBorders>
            <w:shd w:val="clear" w:color="auto" w:fill="auto"/>
            <w:noWrap/>
            <w:vAlign w:val="center"/>
          </w:tcPr>
          <w:p w14:paraId="00E01686"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4695EA95"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5B093EAA"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12</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0CB5E33B"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38DAF399"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42C01205"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221.00</w:t>
            </w:r>
          </w:p>
        </w:tc>
        <w:tc>
          <w:tcPr>
            <w:tcW w:w="880" w:type="pct"/>
            <w:tcBorders>
              <w:top w:val="nil"/>
              <w:left w:val="nil"/>
              <w:bottom w:val="single" w:sz="4" w:space="0" w:color="auto"/>
              <w:right w:val="single" w:sz="4" w:space="0" w:color="auto"/>
            </w:tcBorders>
            <w:shd w:val="clear" w:color="auto" w:fill="auto"/>
            <w:noWrap/>
            <w:vAlign w:val="center"/>
          </w:tcPr>
          <w:p w14:paraId="5D8010B2"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2021/4/1</w:t>
            </w:r>
          </w:p>
        </w:tc>
        <w:tc>
          <w:tcPr>
            <w:tcW w:w="960" w:type="pct"/>
            <w:tcBorders>
              <w:top w:val="nil"/>
              <w:left w:val="nil"/>
              <w:bottom w:val="single" w:sz="4" w:space="0" w:color="auto"/>
              <w:right w:val="single" w:sz="4" w:space="0" w:color="auto"/>
            </w:tcBorders>
            <w:shd w:val="clear" w:color="auto" w:fill="auto"/>
            <w:noWrap/>
            <w:vAlign w:val="center"/>
          </w:tcPr>
          <w:p w14:paraId="150D766D"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2022/4/1</w:t>
            </w:r>
          </w:p>
        </w:tc>
        <w:tc>
          <w:tcPr>
            <w:tcW w:w="925" w:type="pct"/>
            <w:tcBorders>
              <w:top w:val="nil"/>
              <w:left w:val="nil"/>
              <w:bottom w:val="single" w:sz="4" w:space="0" w:color="auto"/>
              <w:right w:val="single" w:sz="4" w:space="0" w:color="auto"/>
            </w:tcBorders>
            <w:shd w:val="clear" w:color="auto" w:fill="auto"/>
            <w:noWrap/>
            <w:vAlign w:val="center"/>
          </w:tcPr>
          <w:p w14:paraId="4084ED71"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6FE3DC35"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00552A81"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13</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5E4C3834"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2D151C94"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1DF61B08"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166.42</w:t>
            </w:r>
          </w:p>
        </w:tc>
        <w:tc>
          <w:tcPr>
            <w:tcW w:w="880" w:type="pct"/>
            <w:tcBorders>
              <w:top w:val="nil"/>
              <w:left w:val="nil"/>
              <w:bottom w:val="single" w:sz="4" w:space="0" w:color="auto"/>
              <w:right w:val="single" w:sz="4" w:space="0" w:color="auto"/>
            </w:tcBorders>
            <w:shd w:val="clear" w:color="auto" w:fill="auto"/>
            <w:noWrap/>
            <w:vAlign w:val="center"/>
          </w:tcPr>
          <w:p w14:paraId="0577BD67"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2021/4/13</w:t>
            </w:r>
          </w:p>
        </w:tc>
        <w:tc>
          <w:tcPr>
            <w:tcW w:w="960" w:type="pct"/>
            <w:tcBorders>
              <w:top w:val="nil"/>
              <w:left w:val="nil"/>
              <w:bottom w:val="single" w:sz="4" w:space="0" w:color="auto"/>
              <w:right w:val="single" w:sz="4" w:space="0" w:color="auto"/>
            </w:tcBorders>
            <w:shd w:val="clear" w:color="auto" w:fill="auto"/>
            <w:noWrap/>
            <w:vAlign w:val="center"/>
          </w:tcPr>
          <w:p w14:paraId="5DA9D46F"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2022/4/13</w:t>
            </w:r>
          </w:p>
        </w:tc>
        <w:tc>
          <w:tcPr>
            <w:tcW w:w="925" w:type="pct"/>
            <w:tcBorders>
              <w:top w:val="nil"/>
              <w:left w:val="nil"/>
              <w:bottom w:val="single" w:sz="4" w:space="0" w:color="auto"/>
              <w:right w:val="single" w:sz="4" w:space="0" w:color="auto"/>
            </w:tcBorders>
            <w:shd w:val="clear" w:color="auto" w:fill="auto"/>
            <w:noWrap/>
            <w:vAlign w:val="center"/>
          </w:tcPr>
          <w:p w14:paraId="5747931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21D184C7"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1383D631"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14</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43BCCFDF"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3D7F6F16"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5CD566FF"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230.00</w:t>
            </w:r>
          </w:p>
        </w:tc>
        <w:tc>
          <w:tcPr>
            <w:tcW w:w="880" w:type="pct"/>
            <w:tcBorders>
              <w:top w:val="nil"/>
              <w:left w:val="nil"/>
              <w:bottom w:val="single" w:sz="4" w:space="0" w:color="auto"/>
              <w:right w:val="single" w:sz="4" w:space="0" w:color="auto"/>
            </w:tcBorders>
            <w:shd w:val="clear" w:color="auto" w:fill="auto"/>
            <w:noWrap/>
            <w:vAlign w:val="center"/>
          </w:tcPr>
          <w:p w14:paraId="01DD33D6"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2021/4/29</w:t>
            </w:r>
          </w:p>
        </w:tc>
        <w:tc>
          <w:tcPr>
            <w:tcW w:w="960" w:type="pct"/>
            <w:tcBorders>
              <w:top w:val="nil"/>
              <w:left w:val="nil"/>
              <w:bottom w:val="single" w:sz="4" w:space="0" w:color="auto"/>
              <w:right w:val="single" w:sz="4" w:space="0" w:color="auto"/>
            </w:tcBorders>
            <w:shd w:val="clear" w:color="auto" w:fill="auto"/>
            <w:noWrap/>
            <w:vAlign w:val="center"/>
          </w:tcPr>
          <w:p w14:paraId="1E1A3B23"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2022/4/29</w:t>
            </w:r>
          </w:p>
        </w:tc>
        <w:tc>
          <w:tcPr>
            <w:tcW w:w="925" w:type="pct"/>
            <w:tcBorders>
              <w:top w:val="nil"/>
              <w:left w:val="nil"/>
              <w:bottom w:val="single" w:sz="4" w:space="0" w:color="auto"/>
              <w:right w:val="single" w:sz="4" w:space="0" w:color="auto"/>
            </w:tcBorders>
            <w:shd w:val="clear" w:color="auto" w:fill="auto"/>
            <w:noWrap/>
            <w:vAlign w:val="center"/>
          </w:tcPr>
          <w:p w14:paraId="6F5B6F80"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77998A5B"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7DDF82C2"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15</w:t>
            </w:r>
          </w:p>
        </w:tc>
        <w:tc>
          <w:tcPr>
            <w:tcW w:w="517"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02A83CB9"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0B2E3C95"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07D6DC87"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848.00</w:t>
            </w:r>
          </w:p>
        </w:tc>
        <w:tc>
          <w:tcPr>
            <w:tcW w:w="880" w:type="pct"/>
            <w:tcBorders>
              <w:top w:val="nil"/>
              <w:left w:val="nil"/>
              <w:bottom w:val="single" w:sz="4" w:space="0" w:color="auto"/>
              <w:right w:val="single" w:sz="4" w:space="0" w:color="auto"/>
            </w:tcBorders>
            <w:shd w:val="clear" w:color="auto" w:fill="auto"/>
            <w:noWrap/>
            <w:vAlign w:val="center"/>
          </w:tcPr>
          <w:p w14:paraId="58D6DA95"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2021/5/28</w:t>
            </w:r>
          </w:p>
        </w:tc>
        <w:tc>
          <w:tcPr>
            <w:tcW w:w="960" w:type="pct"/>
            <w:tcBorders>
              <w:top w:val="nil"/>
              <w:left w:val="nil"/>
              <w:bottom w:val="single" w:sz="4" w:space="0" w:color="auto"/>
              <w:right w:val="single" w:sz="4" w:space="0" w:color="auto"/>
            </w:tcBorders>
            <w:shd w:val="clear" w:color="auto" w:fill="auto"/>
            <w:noWrap/>
            <w:vAlign w:val="center"/>
          </w:tcPr>
          <w:p w14:paraId="458C75E0" w14:textId="577184A3"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2022/5/27</w:t>
            </w:r>
          </w:p>
        </w:tc>
        <w:tc>
          <w:tcPr>
            <w:tcW w:w="925" w:type="pct"/>
            <w:tcBorders>
              <w:top w:val="nil"/>
              <w:left w:val="nil"/>
              <w:bottom w:val="single" w:sz="4" w:space="0" w:color="auto"/>
              <w:right w:val="single" w:sz="4" w:space="0" w:color="auto"/>
            </w:tcBorders>
            <w:shd w:val="clear" w:color="auto" w:fill="auto"/>
            <w:noWrap/>
            <w:vAlign w:val="center"/>
          </w:tcPr>
          <w:p w14:paraId="3892ECF7"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6C2C61CA" w14:textId="77777777">
        <w:trPr>
          <w:trHeight w:val="240"/>
          <w:jc w:val="center"/>
        </w:trPr>
        <w:tc>
          <w:tcPr>
            <w:tcW w:w="877"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85DC1F7" w14:textId="77777777" w:rsidR="00BD3166" w:rsidRDefault="00C64679">
            <w:pPr>
              <w:widowControl/>
              <w:jc w:val="center"/>
              <w:rPr>
                <w:rFonts w:ascii="Times New Roman" w:eastAsia="宋体" w:hAnsi="Times New Roman" w:cs="Times New Roman"/>
                <w:b/>
                <w:bCs/>
                <w:color w:val="000000" w:themeColor="text1"/>
                <w:kern w:val="0"/>
                <w:szCs w:val="21"/>
              </w:rPr>
            </w:pPr>
            <w:r>
              <w:rPr>
                <w:rFonts w:ascii="Times New Roman" w:eastAsia="宋体" w:hAnsi="Times New Roman" w:cs="Times New Roman" w:hint="eastAsia"/>
                <w:b/>
                <w:bCs/>
                <w:color w:val="000000" w:themeColor="text1"/>
                <w:kern w:val="0"/>
                <w:szCs w:val="21"/>
              </w:rPr>
              <w:lastRenderedPageBreak/>
              <w:t>小计</w:t>
            </w:r>
          </w:p>
        </w:tc>
        <w:tc>
          <w:tcPr>
            <w:tcW w:w="639" w:type="pct"/>
            <w:tcBorders>
              <w:top w:val="nil"/>
              <w:left w:val="nil"/>
              <w:bottom w:val="single" w:sz="4" w:space="0" w:color="auto"/>
              <w:right w:val="single" w:sz="4" w:space="0" w:color="auto"/>
            </w:tcBorders>
            <w:shd w:val="clear" w:color="auto" w:fill="auto"/>
            <w:noWrap/>
            <w:vAlign w:val="center"/>
          </w:tcPr>
          <w:p w14:paraId="1FE6F2C7" w14:textId="77777777" w:rsidR="00BD3166" w:rsidRDefault="00C64679">
            <w:pPr>
              <w:widowControl/>
              <w:jc w:val="lef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银行借款</w:t>
            </w:r>
          </w:p>
        </w:tc>
        <w:tc>
          <w:tcPr>
            <w:tcW w:w="719" w:type="pct"/>
            <w:tcBorders>
              <w:top w:val="nil"/>
              <w:left w:val="nil"/>
              <w:bottom w:val="single" w:sz="4" w:space="0" w:color="auto"/>
              <w:right w:val="single" w:sz="4" w:space="0" w:color="auto"/>
            </w:tcBorders>
            <w:shd w:val="clear" w:color="auto" w:fill="auto"/>
            <w:noWrap/>
            <w:vAlign w:val="center"/>
          </w:tcPr>
          <w:p w14:paraId="79FC9228" w14:textId="77777777" w:rsidR="00BD3166" w:rsidRDefault="00C64679">
            <w:pPr>
              <w:widowControl/>
              <w:jc w:val="righ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4,627.42</w:t>
            </w:r>
          </w:p>
        </w:tc>
        <w:tc>
          <w:tcPr>
            <w:tcW w:w="880" w:type="pct"/>
            <w:tcBorders>
              <w:top w:val="nil"/>
              <w:left w:val="nil"/>
              <w:bottom w:val="single" w:sz="4" w:space="0" w:color="auto"/>
              <w:right w:val="single" w:sz="4" w:space="0" w:color="auto"/>
            </w:tcBorders>
            <w:shd w:val="clear" w:color="auto" w:fill="auto"/>
            <w:noWrap/>
            <w:vAlign w:val="center"/>
          </w:tcPr>
          <w:p w14:paraId="69800EE0" w14:textId="77777777" w:rsidR="00BD3166" w:rsidRDefault="00BD3166">
            <w:pPr>
              <w:widowControl/>
              <w:jc w:val="right"/>
              <w:rPr>
                <w:rFonts w:ascii="Times New Roman" w:eastAsia="宋体" w:hAnsi="Times New Roman" w:cs="Times New Roman"/>
                <w:b/>
                <w:bCs/>
                <w:color w:val="000000" w:themeColor="text1"/>
                <w:kern w:val="0"/>
                <w:szCs w:val="21"/>
              </w:rPr>
            </w:pPr>
          </w:p>
        </w:tc>
        <w:tc>
          <w:tcPr>
            <w:tcW w:w="960" w:type="pct"/>
            <w:tcBorders>
              <w:top w:val="nil"/>
              <w:left w:val="nil"/>
              <w:bottom w:val="single" w:sz="4" w:space="0" w:color="auto"/>
              <w:right w:val="single" w:sz="4" w:space="0" w:color="auto"/>
            </w:tcBorders>
            <w:shd w:val="clear" w:color="auto" w:fill="auto"/>
            <w:noWrap/>
            <w:vAlign w:val="center"/>
          </w:tcPr>
          <w:p w14:paraId="70C79B70" w14:textId="77777777" w:rsidR="00BD3166" w:rsidRDefault="00BD3166">
            <w:pPr>
              <w:widowControl/>
              <w:jc w:val="right"/>
              <w:rPr>
                <w:rFonts w:ascii="Times New Roman" w:eastAsia="宋体" w:hAnsi="Times New Roman" w:cs="Times New Roman"/>
                <w:b/>
                <w:bCs/>
                <w:color w:val="000000" w:themeColor="text1"/>
                <w:kern w:val="0"/>
                <w:szCs w:val="21"/>
              </w:rPr>
            </w:pPr>
          </w:p>
        </w:tc>
        <w:tc>
          <w:tcPr>
            <w:tcW w:w="925" w:type="pct"/>
            <w:tcBorders>
              <w:top w:val="nil"/>
              <w:left w:val="nil"/>
              <w:bottom w:val="single" w:sz="4" w:space="0" w:color="auto"/>
              <w:right w:val="single" w:sz="4" w:space="0" w:color="auto"/>
            </w:tcBorders>
            <w:shd w:val="clear" w:color="auto" w:fill="auto"/>
            <w:noWrap/>
            <w:vAlign w:val="center"/>
          </w:tcPr>
          <w:p w14:paraId="34A2FF64" w14:textId="77777777" w:rsidR="00BD3166" w:rsidRDefault="00BD3166">
            <w:pPr>
              <w:widowControl/>
              <w:jc w:val="center"/>
              <w:rPr>
                <w:rFonts w:ascii="Times New Roman" w:eastAsia="宋体" w:hAnsi="Times New Roman" w:cs="Times New Roman"/>
                <w:b/>
                <w:bCs/>
                <w:color w:val="000000" w:themeColor="text1"/>
                <w:kern w:val="0"/>
                <w:szCs w:val="21"/>
              </w:rPr>
            </w:pPr>
          </w:p>
        </w:tc>
      </w:tr>
      <w:tr w:rsidR="00BD3166" w14:paraId="0B195050" w14:textId="77777777">
        <w:trPr>
          <w:trHeight w:val="240"/>
          <w:jc w:val="center"/>
        </w:trPr>
        <w:tc>
          <w:tcPr>
            <w:tcW w:w="877"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14:paraId="7DB060A4"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727860E5" w14:textId="77777777" w:rsidR="00BD3166" w:rsidRDefault="00C64679">
            <w:pPr>
              <w:widowControl/>
              <w:jc w:val="lef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合计</w:t>
            </w:r>
          </w:p>
        </w:tc>
        <w:tc>
          <w:tcPr>
            <w:tcW w:w="719" w:type="pct"/>
            <w:tcBorders>
              <w:top w:val="nil"/>
              <w:left w:val="nil"/>
              <w:bottom w:val="single" w:sz="4" w:space="0" w:color="auto"/>
              <w:right w:val="single" w:sz="4" w:space="0" w:color="auto"/>
            </w:tcBorders>
            <w:shd w:val="clear" w:color="auto" w:fill="auto"/>
            <w:noWrap/>
            <w:vAlign w:val="center"/>
          </w:tcPr>
          <w:p w14:paraId="0F2A31FF" w14:textId="77777777" w:rsidR="00BD3166" w:rsidRDefault="00C64679">
            <w:pPr>
              <w:widowControl/>
              <w:jc w:val="righ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4,627.42</w:t>
            </w:r>
          </w:p>
        </w:tc>
        <w:tc>
          <w:tcPr>
            <w:tcW w:w="880" w:type="pct"/>
            <w:tcBorders>
              <w:top w:val="nil"/>
              <w:left w:val="nil"/>
              <w:bottom w:val="single" w:sz="4" w:space="0" w:color="auto"/>
              <w:right w:val="single" w:sz="4" w:space="0" w:color="auto"/>
            </w:tcBorders>
            <w:shd w:val="clear" w:color="auto" w:fill="auto"/>
            <w:noWrap/>
            <w:vAlign w:val="center"/>
          </w:tcPr>
          <w:p w14:paraId="60CCC067" w14:textId="77777777" w:rsidR="00BD3166" w:rsidRDefault="00BD3166">
            <w:pPr>
              <w:widowControl/>
              <w:jc w:val="right"/>
              <w:rPr>
                <w:rFonts w:ascii="Times New Roman" w:eastAsia="宋体" w:hAnsi="Times New Roman" w:cs="Times New Roman"/>
                <w:b/>
                <w:bCs/>
                <w:color w:val="000000" w:themeColor="text1"/>
                <w:kern w:val="0"/>
                <w:szCs w:val="21"/>
              </w:rPr>
            </w:pPr>
          </w:p>
        </w:tc>
        <w:tc>
          <w:tcPr>
            <w:tcW w:w="960" w:type="pct"/>
            <w:tcBorders>
              <w:top w:val="nil"/>
              <w:left w:val="nil"/>
              <w:bottom w:val="single" w:sz="4" w:space="0" w:color="auto"/>
              <w:right w:val="single" w:sz="4" w:space="0" w:color="auto"/>
            </w:tcBorders>
            <w:shd w:val="clear" w:color="auto" w:fill="auto"/>
            <w:noWrap/>
            <w:vAlign w:val="center"/>
          </w:tcPr>
          <w:p w14:paraId="29FE152C" w14:textId="77777777" w:rsidR="00BD3166" w:rsidRDefault="00BD3166">
            <w:pPr>
              <w:widowControl/>
              <w:jc w:val="right"/>
              <w:rPr>
                <w:rFonts w:ascii="Times New Roman" w:eastAsia="宋体" w:hAnsi="Times New Roman" w:cs="Times New Roman"/>
                <w:b/>
                <w:bCs/>
                <w:color w:val="000000" w:themeColor="text1"/>
                <w:kern w:val="0"/>
                <w:szCs w:val="21"/>
              </w:rPr>
            </w:pPr>
          </w:p>
        </w:tc>
        <w:tc>
          <w:tcPr>
            <w:tcW w:w="925" w:type="pct"/>
            <w:tcBorders>
              <w:top w:val="nil"/>
              <w:left w:val="nil"/>
              <w:bottom w:val="single" w:sz="4" w:space="0" w:color="auto"/>
              <w:right w:val="single" w:sz="4" w:space="0" w:color="auto"/>
            </w:tcBorders>
            <w:shd w:val="clear" w:color="auto" w:fill="auto"/>
            <w:noWrap/>
            <w:vAlign w:val="center"/>
          </w:tcPr>
          <w:p w14:paraId="137F0617" w14:textId="77777777" w:rsidR="00BD3166" w:rsidRDefault="00BD3166">
            <w:pPr>
              <w:widowControl/>
              <w:jc w:val="center"/>
              <w:rPr>
                <w:rFonts w:ascii="Times New Roman" w:eastAsia="宋体" w:hAnsi="Times New Roman" w:cs="Times New Roman"/>
                <w:b/>
                <w:bCs/>
                <w:color w:val="000000" w:themeColor="text1"/>
                <w:kern w:val="0"/>
                <w:szCs w:val="21"/>
              </w:rPr>
            </w:pPr>
          </w:p>
        </w:tc>
      </w:tr>
      <w:tr w:rsidR="00BD3166" w14:paraId="3EB31BE1" w14:textId="77777777">
        <w:trPr>
          <w:trHeight w:val="285"/>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52ACA21"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w:t>
            </w:r>
          </w:p>
        </w:tc>
        <w:tc>
          <w:tcPr>
            <w:tcW w:w="517" w:type="pct"/>
            <w:vMerge w:val="restart"/>
            <w:tcBorders>
              <w:top w:val="nil"/>
              <w:left w:val="single" w:sz="4" w:space="0" w:color="auto"/>
              <w:bottom w:val="single" w:sz="4" w:space="0" w:color="000000"/>
              <w:right w:val="single" w:sz="4" w:space="0" w:color="auto"/>
            </w:tcBorders>
            <w:shd w:val="clear" w:color="auto" w:fill="auto"/>
            <w:noWrap/>
            <w:vAlign w:val="center"/>
          </w:tcPr>
          <w:p w14:paraId="35992F40"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大</w:t>
            </w:r>
            <w:proofErr w:type="gramStart"/>
            <w:r>
              <w:rPr>
                <w:rFonts w:ascii="Times New Roman" w:eastAsia="宋体" w:hAnsi="Times New Roman" w:cs="Times New Roman"/>
                <w:color w:val="000000" w:themeColor="text1"/>
                <w:kern w:val="0"/>
                <w:szCs w:val="21"/>
              </w:rPr>
              <w:t>唐软件</w:t>
            </w:r>
            <w:proofErr w:type="gramEnd"/>
          </w:p>
        </w:tc>
        <w:tc>
          <w:tcPr>
            <w:tcW w:w="639" w:type="pct"/>
            <w:tcBorders>
              <w:top w:val="nil"/>
              <w:left w:val="nil"/>
              <w:bottom w:val="single" w:sz="4" w:space="0" w:color="auto"/>
              <w:right w:val="single" w:sz="4" w:space="0" w:color="auto"/>
            </w:tcBorders>
            <w:shd w:val="clear" w:color="auto" w:fill="auto"/>
            <w:noWrap/>
            <w:vAlign w:val="center"/>
          </w:tcPr>
          <w:p w14:paraId="50B68D3B"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0654E841"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1,768.00</w:t>
            </w:r>
          </w:p>
        </w:tc>
        <w:tc>
          <w:tcPr>
            <w:tcW w:w="880" w:type="pct"/>
            <w:tcBorders>
              <w:top w:val="nil"/>
              <w:left w:val="nil"/>
              <w:bottom w:val="single" w:sz="4" w:space="0" w:color="auto"/>
              <w:right w:val="single" w:sz="4" w:space="0" w:color="auto"/>
            </w:tcBorders>
            <w:shd w:val="clear" w:color="auto" w:fill="auto"/>
            <w:noWrap/>
            <w:vAlign w:val="center"/>
          </w:tcPr>
          <w:p w14:paraId="025EB499"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2020/7/1</w:t>
            </w:r>
          </w:p>
        </w:tc>
        <w:tc>
          <w:tcPr>
            <w:tcW w:w="960" w:type="pct"/>
            <w:tcBorders>
              <w:top w:val="nil"/>
              <w:left w:val="nil"/>
              <w:bottom w:val="single" w:sz="4" w:space="0" w:color="auto"/>
              <w:right w:val="single" w:sz="4" w:space="0" w:color="auto"/>
            </w:tcBorders>
            <w:shd w:val="clear" w:color="auto" w:fill="auto"/>
            <w:noWrap/>
            <w:vAlign w:val="center"/>
          </w:tcPr>
          <w:p w14:paraId="064300CA"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2021/7/1</w:t>
            </w:r>
          </w:p>
        </w:tc>
        <w:tc>
          <w:tcPr>
            <w:tcW w:w="925" w:type="pct"/>
            <w:tcBorders>
              <w:top w:val="nil"/>
              <w:left w:val="nil"/>
              <w:bottom w:val="single" w:sz="4" w:space="0" w:color="auto"/>
              <w:right w:val="single" w:sz="4" w:space="0" w:color="auto"/>
            </w:tcBorders>
            <w:shd w:val="clear" w:color="auto" w:fill="auto"/>
            <w:noWrap/>
            <w:vAlign w:val="center"/>
          </w:tcPr>
          <w:p w14:paraId="5382097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05F04A7C"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78414D9E"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7C4BA027"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7C4BFED0"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0A7B5B24"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765.00</w:t>
            </w:r>
          </w:p>
        </w:tc>
        <w:tc>
          <w:tcPr>
            <w:tcW w:w="880" w:type="pct"/>
            <w:tcBorders>
              <w:top w:val="nil"/>
              <w:left w:val="nil"/>
              <w:bottom w:val="single" w:sz="4" w:space="0" w:color="auto"/>
              <w:right w:val="single" w:sz="4" w:space="0" w:color="auto"/>
            </w:tcBorders>
            <w:shd w:val="clear" w:color="auto" w:fill="auto"/>
            <w:noWrap/>
            <w:vAlign w:val="center"/>
          </w:tcPr>
          <w:p w14:paraId="39642502"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2020/8/6</w:t>
            </w:r>
          </w:p>
        </w:tc>
        <w:tc>
          <w:tcPr>
            <w:tcW w:w="960" w:type="pct"/>
            <w:tcBorders>
              <w:top w:val="nil"/>
              <w:left w:val="nil"/>
              <w:bottom w:val="single" w:sz="4" w:space="0" w:color="auto"/>
              <w:right w:val="single" w:sz="4" w:space="0" w:color="auto"/>
            </w:tcBorders>
            <w:shd w:val="clear" w:color="auto" w:fill="auto"/>
            <w:noWrap/>
            <w:vAlign w:val="center"/>
          </w:tcPr>
          <w:p w14:paraId="51EC88A7"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2021/8/6</w:t>
            </w:r>
          </w:p>
        </w:tc>
        <w:tc>
          <w:tcPr>
            <w:tcW w:w="925" w:type="pct"/>
            <w:tcBorders>
              <w:top w:val="nil"/>
              <w:left w:val="nil"/>
              <w:bottom w:val="single" w:sz="4" w:space="0" w:color="auto"/>
              <w:right w:val="single" w:sz="4" w:space="0" w:color="auto"/>
            </w:tcBorders>
            <w:shd w:val="clear" w:color="auto" w:fill="auto"/>
            <w:noWrap/>
            <w:vAlign w:val="center"/>
          </w:tcPr>
          <w:p w14:paraId="7A436115"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5DA5C7D2" w14:textId="77777777">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E66213B"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3</w:t>
            </w:r>
          </w:p>
        </w:tc>
        <w:tc>
          <w:tcPr>
            <w:tcW w:w="517" w:type="pct"/>
            <w:vMerge/>
            <w:tcBorders>
              <w:top w:val="nil"/>
              <w:left w:val="single" w:sz="4" w:space="0" w:color="auto"/>
              <w:bottom w:val="single" w:sz="4" w:space="0" w:color="000000"/>
              <w:right w:val="single" w:sz="4" w:space="0" w:color="auto"/>
            </w:tcBorders>
            <w:shd w:val="clear" w:color="auto" w:fill="auto"/>
            <w:vAlign w:val="center"/>
          </w:tcPr>
          <w:p w14:paraId="5F15B863"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5F4F93CA" w14:textId="77777777" w:rsidR="00BD3166" w:rsidRDefault="00C64679">
            <w:pPr>
              <w:widowControl/>
              <w:jc w:val="left"/>
              <w:rPr>
                <w:rFonts w:ascii="Times New Roman" w:eastAsia="宋体" w:hAnsi="Times New Roman" w:cs="Times New Roman"/>
                <w:color w:val="000000" w:themeColor="text1"/>
                <w:kern w:val="0"/>
                <w:szCs w:val="21"/>
              </w:rPr>
            </w:pPr>
            <w:proofErr w:type="gramStart"/>
            <w:r>
              <w:rPr>
                <w:rFonts w:ascii="Times New Roman" w:eastAsia="宋体" w:hAnsi="Times New Roman" w:cs="Times New Roman"/>
                <w:color w:val="000000" w:themeColor="text1"/>
                <w:kern w:val="0"/>
                <w:szCs w:val="21"/>
              </w:rPr>
              <w:t>星展银行</w:t>
            </w:r>
            <w:proofErr w:type="gramEnd"/>
          </w:p>
        </w:tc>
        <w:tc>
          <w:tcPr>
            <w:tcW w:w="719" w:type="pct"/>
            <w:tcBorders>
              <w:top w:val="nil"/>
              <w:left w:val="nil"/>
              <w:bottom w:val="single" w:sz="4" w:space="0" w:color="auto"/>
              <w:right w:val="single" w:sz="4" w:space="0" w:color="auto"/>
            </w:tcBorders>
            <w:shd w:val="clear" w:color="auto" w:fill="auto"/>
            <w:noWrap/>
            <w:vAlign w:val="center"/>
          </w:tcPr>
          <w:p w14:paraId="0AE5A6D2"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1,973.00</w:t>
            </w:r>
          </w:p>
        </w:tc>
        <w:tc>
          <w:tcPr>
            <w:tcW w:w="880" w:type="pct"/>
            <w:tcBorders>
              <w:top w:val="nil"/>
              <w:left w:val="nil"/>
              <w:bottom w:val="single" w:sz="4" w:space="0" w:color="auto"/>
              <w:right w:val="single" w:sz="4" w:space="0" w:color="auto"/>
            </w:tcBorders>
            <w:shd w:val="clear" w:color="auto" w:fill="auto"/>
            <w:noWrap/>
            <w:vAlign w:val="center"/>
          </w:tcPr>
          <w:p w14:paraId="273D7220"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2020/9/28</w:t>
            </w:r>
          </w:p>
        </w:tc>
        <w:tc>
          <w:tcPr>
            <w:tcW w:w="960" w:type="pct"/>
            <w:tcBorders>
              <w:top w:val="nil"/>
              <w:left w:val="nil"/>
              <w:bottom w:val="single" w:sz="4" w:space="0" w:color="auto"/>
              <w:right w:val="single" w:sz="4" w:space="0" w:color="auto"/>
            </w:tcBorders>
            <w:shd w:val="clear" w:color="auto" w:fill="auto"/>
            <w:noWrap/>
            <w:vAlign w:val="center"/>
          </w:tcPr>
          <w:p w14:paraId="7B4FF310"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2021/9/28</w:t>
            </w:r>
          </w:p>
        </w:tc>
        <w:tc>
          <w:tcPr>
            <w:tcW w:w="925" w:type="pct"/>
            <w:tcBorders>
              <w:top w:val="nil"/>
              <w:left w:val="nil"/>
              <w:bottom w:val="single" w:sz="4" w:space="0" w:color="auto"/>
              <w:right w:val="single" w:sz="4" w:space="0" w:color="auto"/>
            </w:tcBorders>
            <w:shd w:val="clear" w:color="auto" w:fill="auto"/>
            <w:noWrap/>
            <w:vAlign w:val="center"/>
          </w:tcPr>
          <w:p w14:paraId="452CAAEB"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短期借款</w:t>
            </w:r>
          </w:p>
        </w:tc>
      </w:tr>
      <w:tr w:rsidR="00BD3166" w14:paraId="646F3E43" w14:textId="77777777">
        <w:trPr>
          <w:trHeight w:val="240"/>
          <w:jc w:val="center"/>
        </w:trPr>
        <w:tc>
          <w:tcPr>
            <w:tcW w:w="877"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BEFA3F2" w14:textId="77777777" w:rsidR="00BD3166" w:rsidRDefault="00C64679">
            <w:pPr>
              <w:widowControl/>
              <w:jc w:val="center"/>
              <w:rPr>
                <w:rFonts w:ascii="Times New Roman" w:eastAsia="宋体" w:hAnsi="Times New Roman" w:cs="Times New Roman"/>
                <w:color w:val="000000" w:themeColor="text1"/>
                <w:kern w:val="0"/>
                <w:szCs w:val="21"/>
              </w:rPr>
            </w:pPr>
            <w:r>
              <w:rPr>
                <w:rFonts w:ascii="Times New Roman" w:eastAsia="宋体" w:hAnsi="Times New Roman" w:cs="Times New Roman" w:hint="eastAsia"/>
                <w:b/>
                <w:bCs/>
                <w:color w:val="000000" w:themeColor="text1"/>
                <w:kern w:val="0"/>
                <w:szCs w:val="21"/>
              </w:rPr>
              <w:t>小计</w:t>
            </w:r>
          </w:p>
        </w:tc>
        <w:tc>
          <w:tcPr>
            <w:tcW w:w="639" w:type="pct"/>
            <w:tcBorders>
              <w:top w:val="nil"/>
              <w:left w:val="nil"/>
              <w:bottom w:val="single" w:sz="4" w:space="0" w:color="auto"/>
              <w:right w:val="single" w:sz="4" w:space="0" w:color="auto"/>
            </w:tcBorders>
            <w:shd w:val="clear" w:color="auto" w:fill="auto"/>
            <w:noWrap/>
            <w:vAlign w:val="center"/>
          </w:tcPr>
          <w:p w14:paraId="737160E3" w14:textId="77777777" w:rsidR="00BD3166" w:rsidRDefault="00C64679">
            <w:pPr>
              <w:widowControl/>
              <w:jc w:val="lef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银行借款</w:t>
            </w:r>
          </w:p>
        </w:tc>
        <w:tc>
          <w:tcPr>
            <w:tcW w:w="719" w:type="pct"/>
            <w:tcBorders>
              <w:top w:val="nil"/>
              <w:left w:val="nil"/>
              <w:bottom w:val="single" w:sz="4" w:space="0" w:color="auto"/>
              <w:right w:val="single" w:sz="4" w:space="0" w:color="auto"/>
            </w:tcBorders>
            <w:shd w:val="clear" w:color="auto" w:fill="auto"/>
            <w:noWrap/>
            <w:vAlign w:val="center"/>
          </w:tcPr>
          <w:p w14:paraId="5F9EECD5" w14:textId="77777777" w:rsidR="00BD3166" w:rsidRDefault="00C64679">
            <w:pPr>
              <w:widowControl/>
              <w:jc w:val="righ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4,506.00</w:t>
            </w:r>
          </w:p>
        </w:tc>
        <w:tc>
          <w:tcPr>
            <w:tcW w:w="880" w:type="pct"/>
            <w:tcBorders>
              <w:top w:val="nil"/>
              <w:left w:val="nil"/>
              <w:bottom w:val="single" w:sz="4" w:space="0" w:color="auto"/>
              <w:right w:val="single" w:sz="4" w:space="0" w:color="auto"/>
            </w:tcBorders>
            <w:shd w:val="clear" w:color="auto" w:fill="auto"/>
            <w:noWrap/>
            <w:vAlign w:val="center"/>
          </w:tcPr>
          <w:p w14:paraId="6EF097B2" w14:textId="77777777" w:rsidR="00BD3166" w:rsidRDefault="00BD3166">
            <w:pPr>
              <w:widowControl/>
              <w:jc w:val="right"/>
              <w:rPr>
                <w:rFonts w:ascii="Times New Roman" w:eastAsia="宋体" w:hAnsi="Times New Roman" w:cs="Times New Roman"/>
                <w:color w:val="000000" w:themeColor="text1"/>
                <w:kern w:val="0"/>
                <w:szCs w:val="21"/>
              </w:rPr>
            </w:pPr>
          </w:p>
        </w:tc>
        <w:tc>
          <w:tcPr>
            <w:tcW w:w="960" w:type="pct"/>
            <w:tcBorders>
              <w:top w:val="nil"/>
              <w:left w:val="nil"/>
              <w:bottom w:val="single" w:sz="4" w:space="0" w:color="auto"/>
              <w:right w:val="single" w:sz="4" w:space="0" w:color="auto"/>
            </w:tcBorders>
            <w:shd w:val="clear" w:color="auto" w:fill="auto"/>
            <w:noWrap/>
            <w:vAlign w:val="center"/>
          </w:tcPr>
          <w:p w14:paraId="1EF86C38" w14:textId="77777777" w:rsidR="00BD3166" w:rsidRDefault="00BD3166">
            <w:pPr>
              <w:widowControl/>
              <w:jc w:val="right"/>
              <w:rPr>
                <w:rFonts w:ascii="Times New Roman" w:eastAsia="宋体" w:hAnsi="Times New Roman" w:cs="Times New Roman"/>
                <w:color w:val="000000" w:themeColor="text1"/>
                <w:kern w:val="0"/>
                <w:szCs w:val="21"/>
              </w:rPr>
            </w:pPr>
          </w:p>
        </w:tc>
        <w:tc>
          <w:tcPr>
            <w:tcW w:w="925" w:type="pct"/>
            <w:tcBorders>
              <w:top w:val="nil"/>
              <w:left w:val="nil"/>
              <w:bottom w:val="single" w:sz="4" w:space="0" w:color="auto"/>
              <w:right w:val="single" w:sz="4" w:space="0" w:color="auto"/>
            </w:tcBorders>
            <w:shd w:val="clear" w:color="auto" w:fill="auto"/>
            <w:noWrap/>
            <w:vAlign w:val="center"/>
          </w:tcPr>
          <w:p w14:paraId="3B5C7131" w14:textId="77777777" w:rsidR="00BD3166" w:rsidRDefault="00BD3166">
            <w:pPr>
              <w:widowControl/>
              <w:jc w:val="center"/>
              <w:rPr>
                <w:rFonts w:ascii="Times New Roman" w:eastAsia="宋体" w:hAnsi="Times New Roman" w:cs="Times New Roman"/>
                <w:color w:val="000000" w:themeColor="text1"/>
                <w:kern w:val="0"/>
                <w:szCs w:val="21"/>
              </w:rPr>
            </w:pPr>
          </w:p>
        </w:tc>
      </w:tr>
      <w:tr w:rsidR="00BD3166" w14:paraId="66A36006" w14:textId="77777777">
        <w:trPr>
          <w:trHeight w:val="240"/>
          <w:jc w:val="center"/>
        </w:trPr>
        <w:tc>
          <w:tcPr>
            <w:tcW w:w="877"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14:paraId="1AB48BE6"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1B67BE30" w14:textId="77777777" w:rsidR="00BD3166" w:rsidRDefault="00C64679">
            <w:pPr>
              <w:widowControl/>
              <w:jc w:val="lef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合计</w:t>
            </w:r>
          </w:p>
        </w:tc>
        <w:tc>
          <w:tcPr>
            <w:tcW w:w="719" w:type="pct"/>
            <w:tcBorders>
              <w:top w:val="nil"/>
              <w:left w:val="nil"/>
              <w:bottom w:val="single" w:sz="4" w:space="0" w:color="auto"/>
              <w:right w:val="single" w:sz="4" w:space="0" w:color="auto"/>
            </w:tcBorders>
            <w:shd w:val="clear" w:color="auto" w:fill="auto"/>
            <w:noWrap/>
            <w:vAlign w:val="center"/>
          </w:tcPr>
          <w:p w14:paraId="75F803C9" w14:textId="77777777" w:rsidR="00BD3166" w:rsidRDefault="00C64679">
            <w:pPr>
              <w:widowControl/>
              <w:jc w:val="righ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4,506.00</w:t>
            </w:r>
          </w:p>
        </w:tc>
        <w:tc>
          <w:tcPr>
            <w:tcW w:w="880" w:type="pct"/>
            <w:tcBorders>
              <w:top w:val="nil"/>
              <w:left w:val="nil"/>
              <w:bottom w:val="single" w:sz="4" w:space="0" w:color="auto"/>
              <w:right w:val="single" w:sz="4" w:space="0" w:color="auto"/>
            </w:tcBorders>
            <w:shd w:val="clear" w:color="auto" w:fill="auto"/>
            <w:noWrap/>
            <w:vAlign w:val="center"/>
          </w:tcPr>
          <w:p w14:paraId="46B639BE" w14:textId="77777777" w:rsidR="00BD3166" w:rsidRDefault="00BD3166">
            <w:pPr>
              <w:widowControl/>
              <w:jc w:val="left"/>
              <w:rPr>
                <w:rFonts w:ascii="Times New Roman" w:eastAsia="宋体" w:hAnsi="Times New Roman" w:cs="Times New Roman"/>
                <w:b/>
                <w:bCs/>
                <w:color w:val="000000" w:themeColor="text1"/>
                <w:kern w:val="0"/>
                <w:szCs w:val="21"/>
              </w:rPr>
            </w:pPr>
          </w:p>
        </w:tc>
        <w:tc>
          <w:tcPr>
            <w:tcW w:w="960" w:type="pct"/>
            <w:tcBorders>
              <w:top w:val="nil"/>
              <w:left w:val="nil"/>
              <w:bottom w:val="single" w:sz="4" w:space="0" w:color="auto"/>
              <w:right w:val="single" w:sz="4" w:space="0" w:color="auto"/>
            </w:tcBorders>
            <w:shd w:val="clear" w:color="auto" w:fill="auto"/>
            <w:noWrap/>
            <w:vAlign w:val="center"/>
          </w:tcPr>
          <w:p w14:paraId="57D21473" w14:textId="77777777" w:rsidR="00BD3166" w:rsidRDefault="00BD3166">
            <w:pPr>
              <w:widowControl/>
              <w:jc w:val="left"/>
              <w:rPr>
                <w:rFonts w:ascii="Times New Roman" w:eastAsia="宋体" w:hAnsi="Times New Roman" w:cs="Times New Roman"/>
                <w:b/>
                <w:bCs/>
                <w:color w:val="000000" w:themeColor="text1"/>
                <w:kern w:val="0"/>
                <w:szCs w:val="21"/>
              </w:rPr>
            </w:pPr>
          </w:p>
        </w:tc>
        <w:tc>
          <w:tcPr>
            <w:tcW w:w="925" w:type="pct"/>
            <w:tcBorders>
              <w:top w:val="nil"/>
              <w:left w:val="nil"/>
              <w:bottom w:val="single" w:sz="4" w:space="0" w:color="auto"/>
              <w:right w:val="single" w:sz="4" w:space="0" w:color="auto"/>
            </w:tcBorders>
            <w:shd w:val="clear" w:color="auto" w:fill="auto"/>
            <w:noWrap/>
            <w:vAlign w:val="center"/>
          </w:tcPr>
          <w:p w14:paraId="3167653B" w14:textId="77777777" w:rsidR="00BD3166" w:rsidRDefault="00BD3166">
            <w:pPr>
              <w:widowControl/>
              <w:jc w:val="center"/>
              <w:rPr>
                <w:rFonts w:ascii="Times New Roman" w:eastAsia="宋体" w:hAnsi="Times New Roman" w:cs="Times New Roman"/>
                <w:b/>
                <w:bCs/>
                <w:color w:val="000000" w:themeColor="text1"/>
                <w:kern w:val="0"/>
                <w:szCs w:val="21"/>
              </w:rPr>
            </w:pPr>
          </w:p>
        </w:tc>
      </w:tr>
      <w:tr w:rsidR="00BD3166" w14:paraId="3DD49388" w14:textId="77777777">
        <w:trPr>
          <w:trHeight w:val="360"/>
          <w:jc w:val="center"/>
        </w:trPr>
        <w:tc>
          <w:tcPr>
            <w:tcW w:w="877" w:type="pct"/>
            <w:gridSpan w:val="2"/>
            <w:vMerge w:val="restart"/>
            <w:tcBorders>
              <w:top w:val="single" w:sz="4" w:space="0" w:color="auto"/>
              <w:left w:val="single" w:sz="4" w:space="0" w:color="auto"/>
              <w:right w:val="single" w:sz="4" w:space="0" w:color="000000"/>
            </w:tcBorders>
            <w:shd w:val="clear" w:color="auto" w:fill="auto"/>
            <w:noWrap/>
            <w:vAlign w:val="center"/>
          </w:tcPr>
          <w:p w14:paraId="24A7ACFC" w14:textId="77777777" w:rsidR="00BD3166" w:rsidRDefault="00C64679">
            <w:pPr>
              <w:widowControl/>
              <w:jc w:val="center"/>
              <w:rPr>
                <w:rFonts w:ascii="Times New Roman" w:eastAsia="宋体" w:hAnsi="Times New Roman" w:cs="Times New Roman"/>
                <w:b/>
                <w:bCs/>
                <w:color w:val="000000" w:themeColor="text1"/>
                <w:kern w:val="0"/>
                <w:szCs w:val="21"/>
              </w:rPr>
            </w:pPr>
            <w:r>
              <w:rPr>
                <w:rFonts w:ascii="Times New Roman" w:eastAsia="宋体" w:hAnsi="Times New Roman" w:cs="Times New Roman" w:hint="eastAsia"/>
                <w:b/>
                <w:bCs/>
                <w:color w:val="000000" w:themeColor="text1"/>
                <w:kern w:val="0"/>
                <w:szCs w:val="21"/>
              </w:rPr>
              <w:t>总计</w:t>
            </w:r>
          </w:p>
        </w:tc>
        <w:tc>
          <w:tcPr>
            <w:tcW w:w="639" w:type="pct"/>
            <w:tcBorders>
              <w:top w:val="nil"/>
              <w:left w:val="nil"/>
              <w:bottom w:val="single" w:sz="4" w:space="0" w:color="auto"/>
              <w:right w:val="single" w:sz="4" w:space="0" w:color="auto"/>
            </w:tcBorders>
            <w:shd w:val="clear" w:color="auto" w:fill="auto"/>
            <w:noWrap/>
            <w:vAlign w:val="center"/>
          </w:tcPr>
          <w:p w14:paraId="4FA3FB1D" w14:textId="77777777" w:rsidR="00BD3166" w:rsidRDefault="00C64679">
            <w:pPr>
              <w:widowControl/>
              <w:jc w:val="lef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银行借款合计</w:t>
            </w:r>
          </w:p>
        </w:tc>
        <w:tc>
          <w:tcPr>
            <w:tcW w:w="719" w:type="pct"/>
            <w:tcBorders>
              <w:top w:val="nil"/>
              <w:left w:val="nil"/>
              <w:bottom w:val="single" w:sz="4" w:space="0" w:color="auto"/>
              <w:right w:val="single" w:sz="4" w:space="0" w:color="auto"/>
            </w:tcBorders>
            <w:shd w:val="clear" w:color="auto" w:fill="auto"/>
            <w:noWrap/>
            <w:vAlign w:val="center"/>
          </w:tcPr>
          <w:p w14:paraId="60E570E2"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23,633.42</w:t>
            </w:r>
          </w:p>
        </w:tc>
        <w:tc>
          <w:tcPr>
            <w:tcW w:w="880" w:type="pct"/>
            <w:tcBorders>
              <w:top w:val="nil"/>
              <w:left w:val="nil"/>
              <w:bottom w:val="single" w:sz="4" w:space="0" w:color="auto"/>
              <w:right w:val="single" w:sz="4" w:space="0" w:color="auto"/>
            </w:tcBorders>
            <w:shd w:val="clear" w:color="auto" w:fill="auto"/>
            <w:noWrap/>
            <w:vAlign w:val="center"/>
          </w:tcPr>
          <w:p w14:paraId="5D2876C6" w14:textId="77777777" w:rsidR="00BD3166" w:rsidRDefault="00BD3166">
            <w:pPr>
              <w:widowControl/>
              <w:jc w:val="left"/>
              <w:rPr>
                <w:rFonts w:ascii="Times New Roman" w:eastAsia="宋体" w:hAnsi="Times New Roman" w:cs="Times New Roman"/>
                <w:color w:val="000000" w:themeColor="text1"/>
                <w:kern w:val="0"/>
                <w:szCs w:val="21"/>
              </w:rPr>
            </w:pPr>
          </w:p>
        </w:tc>
        <w:tc>
          <w:tcPr>
            <w:tcW w:w="960" w:type="pct"/>
            <w:tcBorders>
              <w:top w:val="nil"/>
              <w:left w:val="nil"/>
              <w:bottom w:val="single" w:sz="4" w:space="0" w:color="auto"/>
              <w:right w:val="single" w:sz="4" w:space="0" w:color="auto"/>
            </w:tcBorders>
            <w:shd w:val="clear" w:color="auto" w:fill="auto"/>
            <w:noWrap/>
            <w:vAlign w:val="center"/>
          </w:tcPr>
          <w:p w14:paraId="7461809D" w14:textId="77777777" w:rsidR="00BD3166" w:rsidRDefault="00BD3166">
            <w:pPr>
              <w:widowControl/>
              <w:jc w:val="left"/>
              <w:rPr>
                <w:rFonts w:ascii="Times New Roman" w:eastAsia="宋体" w:hAnsi="Times New Roman" w:cs="Times New Roman"/>
                <w:color w:val="000000" w:themeColor="text1"/>
                <w:kern w:val="0"/>
                <w:szCs w:val="21"/>
              </w:rPr>
            </w:pPr>
          </w:p>
        </w:tc>
        <w:tc>
          <w:tcPr>
            <w:tcW w:w="925" w:type="pct"/>
            <w:tcBorders>
              <w:top w:val="nil"/>
              <w:left w:val="nil"/>
              <w:bottom w:val="single" w:sz="4" w:space="0" w:color="auto"/>
              <w:right w:val="single" w:sz="4" w:space="0" w:color="auto"/>
            </w:tcBorders>
            <w:shd w:val="clear" w:color="auto" w:fill="auto"/>
            <w:noWrap/>
            <w:vAlign w:val="center"/>
          </w:tcPr>
          <w:p w14:paraId="5B8FFC72" w14:textId="77777777" w:rsidR="00BD3166" w:rsidRDefault="00BD3166">
            <w:pPr>
              <w:widowControl/>
              <w:jc w:val="center"/>
              <w:rPr>
                <w:rFonts w:ascii="Times New Roman" w:eastAsia="宋体" w:hAnsi="Times New Roman" w:cs="Times New Roman"/>
                <w:color w:val="000000" w:themeColor="text1"/>
                <w:kern w:val="0"/>
                <w:szCs w:val="21"/>
              </w:rPr>
            </w:pPr>
          </w:p>
        </w:tc>
      </w:tr>
      <w:tr w:rsidR="00BD3166" w14:paraId="07BE33D4" w14:textId="77777777">
        <w:trPr>
          <w:trHeight w:val="300"/>
          <w:jc w:val="center"/>
        </w:trPr>
        <w:tc>
          <w:tcPr>
            <w:tcW w:w="877" w:type="pct"/>
            <w:gridSpan w:val="2"/>
            <w:vMerge/>
            <w:tcBorders>
              <w:left w:val="single" w:sz="4" w:space="0" w:color="auto"/>
              <w:right w:val="single" w:sz="4" w:space="0" w:color="000000"/>
            </w:tcBorders>
            <w:shd w:val="clear" w:color="auto" w:fill="auto"/>
            <w:vAlign w:val="center"/>
          </w:tcPr>
          <w:p w14:paraId="1F2C9463"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nil"/>
              <w:bottom w:val="single" w:sz="4" w:space="0" w:color="auto"/>
              <w:right w:val="single" w:sz="4" w:space="0" w:color="auto"/>
            </w:tcBorders>
            <w:shd w:val="clear" w:color="auto" w:fill="auto"/>
            <w:noWrap/>
            <w:vAlign w:val="center"/>
          </w:tcPr>
          <w:p w14:paraId="0C45547D" w14:textId="77777777" w:rsidR="00BD3166" w:rsidRDefault="00C64679">
            <w:pPr>
              <w:widowControl/>
              <w:jc w:val="lef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金融机构负债合计</w:t>
            </w:r>
          </w:p>
        </w:tc>
        <w:tc>
          <w:tcPr>
            <w:tcW w:w="719" w:type="pct"/>
            <w:tcBorders>
              <w:top w:val="nil"/>
              <w:left w:val="nil"/>
              <w:bottom w:val="single" w:sz="4" w:space="0" w:color="auto"/>
              <w:right w:val="single" w:sz="4" w:space="0" w:color="auto"/>
            </w:tcBorders>
            <w:shd w:val="clear" w:color="auto" w:fill="auto"/>
            <w:noWrap/>
            <w:vAlign w:val="center"/>
          </w:tcPr>
          <w:p w14:paraId="5AC6ED91" w14:textId="77777777" w:rsidR="00BD3166" w:rsidRDefault="00C64679">
            <w:pPr>
              <w:widowControl/>
              <w:jc w:val="righ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24,500.00</w:t>
            </w:r>
          </w:p>
        </w:tc>
        <w:tc>
          <w:tcPr>
            <w:tcW w:w="880" w:type="pct"/>
            <w:tcBorders>
              <w:top w:val="nil"/>
              <w:left w:val="nil"/>
              <w:bottom w:val="single" w:sz="4" w:space="0" w:color="auto"/>
              <w:right w:val="single" w:sz="4" w:space="0" w:color="auto"/>
            </w:tcBorders>
            <w:shd w:val="clear" w:color="auto" w:fill="auto"/>
            <w:noWrap/>
            <w:vAlign w:val="center"/>
          </w:tcPr>
          <w:p w14:paraId="1C94A952" w14:textId="77777777" w:rsidR="00BD3166" w:rsidRDefault="00BD3166">
            <w:pPr>
              <w:widowControl/>
              <w:jc w:val="left"/>
              <w:rPr>
                <w:rFonts w:ascii="Times New Roman" w:eastAsia="宋体" w:hAnsi="Times New Roman" w:cs="Times New Roman"/>
                <w:color w:val="000000" w:themeColor="text1"/>
                <w:kern w:val="0"/>
                <w:szCs w:val="21"/>
              </w:rPr>
            </w:pPr>
          </w:p>
        </w:tc>
        <w:tc>
          <w:tcPr>
            <w:tcW w:w="960" w:type="pct"/>
            <w:tcBorders>
              <w:top w:val="nil"/>
              <w:left w:val="nil"/>
              <w:bottom w:val="single" w:sz="4" w:space="0" w:color="auto"/>
              <w:right w:val="single" w:sz="4" w:space="0" w:color="auto"/>
            </w:tcBorders>
            <w:shd w:val="clear" w:color="auto" w:fill="auto"/>
            <w:noWrap/>
            <w:vAlign w:val="center"/>
          </w:tcPr>
          <w:p w14:paraId="0E3079DF" w14:textId="77777777" w:rsidR="00BD3166" w:rsidRDefault="00BD3166">
            <w:pPr>
              <w:widowControl/>
              <w:jc w:val="left"/>
              <w:rPr>
                <w:rFonts w:ascii="Times New Roman" w:eastAsia="宋体" w:hAnsi="Times New Roman" w:cs="Times New Roman"/>
                <w:color w:val="000000" w:themeColor="text1"/>
                <w:kern w:val="0"/>
                <w:szCs w:val="21"/>
              </w:rPr>
            </w:pPr>
          </w:p>
        </w:tc>
        <w:tc>
          <w:tcPr>
            <w:tcW w:w="925" w:type="pct"/>
            <w:tcBorders>
              <w:top w:val="nil"/>
              <w:left w:val="nil"/>
              <w:bottom w:val="single" w:sz="4" w:space="0" w:color="auto"/>
              <w:right w:val="single" w:sz="4" w:space="0" w:color="auto"/>
            </w:tcBorders>
            <w:shd w:val="clear" w:color="auto" w:fill="auto"/>
            <w:noWrap/>
            <w:vAlign w:val="center"/>
          </w:tcPr>
          <w:p w14:paraId="74C013A2" w14:textId="77777777" w:rsidR="00BD3166" w:rsidRDefault="00BD3166">
            <w:pPr>
              <w:widowControl/>
              <w:jc w:val="center"/>
              <w:rPr>
                <w:rFonts w:ascii="Times New Roman" w:eastAsia="宋体" w:hAnsi="Times New Roman" w:cs="Times New Roman"/>
                <w:color w:val="000000" w:themeColor="text1"/>
                <w:kern w:val="0"/>
                <w:szCs w:val="21"/>
              </w:rPr>
            </w:pPr>
          </w:p>
        </w:tc>
      </w:tr>
      <w:tr w:rsidR="00BD3166" w14:paraId="057749A3" w14:textId="77777777">
        <w:trPr>
          <w:trHeight w:val="240"/>
          <w:jc w:val="center"/>
        </w:trPr>
        <w:tc>
          <w:tcPr>
            <w:tcW w:w="877" w:type="pct"/>
            <w:gridSpan w:val="2"/>
            <w:vMerge/>
            <w:tcBorders>
              <w:left w:val="single" w:sz="4" w:space="0" w:color="auto"/>
              <w:bottom w:val="single" w:sz="4" w:space="0" w:color="auto"/>
              <w:right w:val="single" w:sz="4" w:space="0" w:color="000000"/>
            </w:tcBorders>
            <w:shd w:val="clear" w:color="auto" w:fill="auto"/>
            <w:noWrap/>
            <w:vAlign w:val="center"/>
          </w:tcPr>
          <w:p w14:paraId="26D6F6CD" w14:textId="77777777" w:rsidR="00BD3166" w:rsidRDefault="00BD3166">
            <w:pPr>
              <w:widowControl/>
              <w:jc w:val="left"/>
              <w:rPr>
                <w:rFonts w:ascii="Times New Roman" w:eastAsia="宋体" w:hAnsi="Times New Roman" w:cs="Times New Roman"/>
                <w:color w:val="000000" w:themeColor="text1"/>
                <w:kern w:val="0"/>
                <w:szCs w:val="21"/>
              </w:rPr>
            </w:pPr>
          </w:p>
        </w:tc>
        <w:tc>
          <w:tcPr>
            <w:tcW w:w="639" w:type="pct"/>
            <w:tcBorders>
              <w:top w:val="nil"/>
              <w:left w:val="single" w:sz="4" w:space="0" w:color="000000"/>
              <w:bottom w:val="single" w:sz="4" w:space="0" w:color="auto"/>
              <w:right w:val="single" w:sz="4" w:space="0" w:color="auto"/>
            </w:tcBorders>
            <w:shd w:val="clear" w:color="auto" w:fill="auto"/>
            <w:noWrap/>
            <w:vAlign w:val="center"/>
          </w:tcPr>
          <w:p w14:paraId="1FC6E573" w14:textId="77777777" w:rsidR="00BD3166" w:rsidRDefault="00C64679">
            <w:pPr>
              <w:widowControl/>
              <w:jc w:val="lef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合计</w:t>
            </w:r>
          </w:p>
        </w:tc>
        <w:tc>
          <w:tcPr>
            <w:tcW w:w="719" w:type="pct"/>
            <w:tcBorders>
              <w:top w:val="nil"/>
              <w:left w:val="nil"/>
              <w:bottom w:val="single" w:sz="4" w:space="0" w:color="auto"/>
              <w:right w:val="single" w:sz="4" w:space="0" w:color="auto"/>
            </w:tcBorders>
            <w:shd w:val="clear" w:color="auto" w:fill="auto"/>
            <w:noWrap/>
            <w:vAlign w:val="center"/>
          </w:tcPr>
          <w:p w14:paraId="2C5D317D" w14:textId="77777777" w:rsidR="00BD3166" w:rsidRDefault="00C64679">
            <w:pPr>
              <w:widowControl/>
              <w:jc w:val="right"/>
              <w:rPr>
                <w:rFonts w:ascii="Times New Roman" w:eastAsia="宋体" w:hAnsi="Times New Roman" w:cs="Times New Roman"/>
                <w:b/>
                <w:bCs/>
                <w:color w:val="000000" w:themeColor="text1"/>
                <w:kern w:val="0"/>
                <w:szCs w:val="21"/>
              </w:rPr>
            </w:pPr>
            <w:r>
              <w:rPr>
                <w:rFonts w:ascii="Times New Roman" w:eastAsia="宋体" w:hAnsi="Times New Roman" w:cs="Times New Roman"/>
                <w:b/>
                <w:bCs/>
                <w:color w:val="000000" w:themeColor="text1"/>
                <w:kern w:val="0"/>
                <w:szCs w:val="21"/>
              </w:rPr>
              <w:t>48,133.42</w:t>
            </w:r>
          </w:p>
        </w:tc>
        <w:tc>
          <w:tcPr>
            <w:tcW w:w="880" w:type="pct"/>
            <w:tcBorders>
              <w:top w:val="nil"/>
              <w:left w:val="nil"/>
              <w:bottom w:val="single" w:sz="4" w:space="0" w:color="auto"/>
              <w:right w:val="single" w:sz="4" w:space="0" w:color="auto"/>
            </w:tcBorders>
            <w:shd w:val="clear" w:color="auto" w:fill="auto"/>
            <w:noWrap/>
            <w:vAlign w:val="center"/>
          </w:tcPr>
          <w:p w14:paraId="0E40518B" w14:textId="77777777" w:rsidR="00BD3166" w:rsidRDefault="00BD3166">
            <w:pPr>
              <w:widowControl/>
              <w:jc w:val="left"/>
              <w:rPr>
                <w:rFonts w:ascii="Times New Roman" w:eastAsia="宋体" w:hAnsi="Times New Roman" w:cs="Times New Roman"/>
                <w:color w:val="000000" w:themeColor="text1"/>
                <w:kern w:val="0"/>
                <w:szCs w:val="21"/>
              </w:rPr>
            </w:pPr>
          </w:p>
        </w:tc>
        <w:tc>
          <w:tcPr>
            <w:tcW w:w="960" w:type="pct"/>
            <w:tcBorders>
              <w:top w:val="nil"/>
              <w:left w:val="nil"/>
              <w:bottom w:val="single" w:sz="4" w:space="0" w:color="auto"/>
              <w:right w:val="single" w:sz="4" w:space="0" w:color="auto"/>
            </w:tcBorders>
            <w:shd w:val="clear" w:color="auto" w:fill="auto"/>
            <w:noWrap/>
            <w:vAlign w:val="center"/>
          </w:tcPr>
          <w:p w14:paraId="5484FFC3" w14:textId="77777777" w:rsidR="00BD3166" w:rsidRDefault="00BD3166">
            <w:pPr>
              <w:widowControl/>
              <w:jc w:val="left"/>
              <w:rPr>
                <w:rFonts w:ascii="Times New Roman" w:eastAsia="宋体" w:hAnsi="Times New Roman" w:cs="Times New Roman"/>
                <w:color w:val="000000" w:themeColor="text1"/>
                <w:kern w:val="0"/>
                <w:szCs w:val="21"/>
              </w:rPr>
            </w:pPr>
          </w:p>
        </w:tc>
        <w:tc>
          <w:tcPr>
            <w:tcW w:w="925" w:type="pct"/>
            <w:tcBorders>
              <w:top w:val="nil"/>
              <w:left w:val="nil"/>
              <w:bottom w:val="single" w:sz="4" w:space="0" w:color="auto"/>
              <w:right w:val="single" w:sz="4" w:space="0" w:color="auto"/>
            </w:tcBorders>
            <w:shd w:val="clear" w:color="auto" w:fill="auto"/>
            <w:noWrap/>
            <w:vAlign w:val="center"/>
          </w:tcPr>
          <w:p w14:paraId="0D54B382" w14:textId="77777777" w:rsidR="00BD3166" w:rsidRDefault="00BD3166">
            <w:pPr>
              <w:widowControl/>
              <w:jc w:val="center"/>
              <w:rPr>
                <w:rFonts w:ascii="Times New Roman" w:eastAsia="宋体" w:hAnsi="Times New Roman" w:cs="Times New Roman"/>
                <w:color w:val="000000" w:themeColor="text1"/>
                <w:kern w:val="0"/>
                <w:szCs w:val="21"/>
              </w:rPr>
            </w:pPr>
          </w:p>
        </w:tc>
      </w:tr>
    </w:tbl>
    <w:p w14:paraId="2A96AD8C" w14:textId="294FA136" w:rsidR="005E705E" w:rsidRPr="00E367D8" w:rsidRDefault="005E705E" w:rsidP="00E367D8">
      <w:pPr>
        <w:autoSpaceDE w:val="0"/>
        <w:autoSpaceDN w:val="0"/>
        <w:spacing w:beforeLines="50" w:before="156" w:line="360" w:lineRule="auto"/>
        <w:rPr>
          <w:rFonts w:ascii="Times New Roman" w:eastAsia="宋体" w:hAnsi="Times New Roman" w:cs="Times New Roman"/>
          <w:color w:val="000000"/>
          <w:szCs w:val="21"/>
        </w:rPr>
      </w:pPr>
      <w:r w:rsidRPr="00E367D8">
        <w:rPr>
          <w:rFonts w:ascii="Times New Roman" w:eastAsia="宋体" w:hAnsi="Times New Roman" w:cs="Times New Roman" w:hint="eastAsia"/>
          <w:color w:val="000000"/>
          <w:szCs w:val="21"/>
        </w:rPr>
        <w:t>注：表中已到期应归还借款公司已利用自有资金偿还。</w:t>
      </w:r>
    </w:p>
    <w:p w14:paraId="4C50A9A9" w14:textId="7456375C"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结合本次增资前后标的公司的股权结构、董事会派驻人员、股东会与董事会重大事项一票否决权等情况，说明本次交易完成后标的公司的股权控制关系，是否属于共同控制，以及将标的资产继续纳入合并报表范围的依据及合理性。</w:t>
      </w:r>
    </w:p>
    <w:p w14:paraId="4D89A21E"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bookmarkStart w:id="5" w:name="_Hlk75948055"/>
      <w:r>
        <w:rPr>
          <w:rFonts w:ascii="Times New Roman" w:eastAsia="宋体" w:hAnsi="Times New Roman" w:cs="Times New Roman" w:hint="eastAsia"/>
          <w:b/>
          <w:bCs/>
          <w:color w:val="000000"/>
          <w:sz w:val="24"/>
          <w:szCs w:val="24"/>
        </w:rPr>
        <w:t>（一）本次增资前后标的公司的股权结构</w:t>
      </w:r>
    </w:p>
    <w:p w14:paraId="341D3E0D"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b/>
          <w:bCs/>
          <w:color w:val="000000"/>
          <w:sz w:val="24"/>
          <w:szCs w:val="24"/>
        </w:rPr>
      </w:pPr>
      <w:r>
        <w:rPr>
          <w:rFonts w:ascii="Times New Roman" w:eastAsia="宋体" w:hAnsi="Times New Roman" w:cs="Times New Roman" w:hint="eastAsia"/>
          <w:color w:val="000000"/>
          <w:sz w:val="24"/>
          <w:szCs w:val="24"/>
        </w:rPr>
        <w:t>本次增资前，大唐半导体持有标的公司</w:t>
      </w:r>
      <w:r>
        <w:rPr>
          <w:rFonts w:ascii="Times New Roman" w:eastAsia="宋体" w:hAnsi="Times New Roman" w:cs="Times New Roman" w:hint="eastAsia"/>
          <w:color w:val="000000"/>
          <w:sz w:val="24"/>
          <w:szCs w:val="24"/>
        </w:rPr>
        <w:t>9</w:t>
      </w: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股权，本次增资后，大唐半导体持有标的公司</w:t>
      </w:r>
      <w:r>
        <w:rPr>
          <w:rFonts w:ascii="Times New Roman" w:eastAsia="宋体" w:hAnsi="Times New Roman" w:cs="Times New Roman" w:hint="eastAsia"/>
          <w:color w:val="000000"/>
          <w:sz w:val="24"/>
          <w:szCs w:val="24"/>
        </w:rPr>
        <w:t>7</w:t>
      </w:r>
      <w:r>
        <w:rPr>
          <w:rFonts w:ascii="Times New Roman" w:eastAsia="宋体" w:hAnsi="Times New Roman" w:cs="Times New Roman"/>
          <w:color w:val="000000"/>
          <w:sz w:val="24"/>
          <w:szCs w:val="24"/>
        </w:rPr>
        <w:t>1.786</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股权，国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基金持有标的公司</w:t>
      </w:r>
      <w:r>
        <w:rPr>
          <w:rFonts w:ascii="Times New Roman" w:eastAsia="宋体" w:hAnsi="Times New Roman" w:cs="Times New Roman" w:hint="eastAsia"/>
          <w:color w:val="000000"/>
          <w:sz w:val="24"/>
          <w:szCs w:val="24"/>
        </w:rPr>
        <w:t>2</w:t>
      </w:r>
      <w:r>
        <w:rPr>
          <w:rFonts w:ascii="Times New Roman" w:eastAsia="宋体" w:hAnsi="Times New Roman" w:cs="Times New Roman"/>
          <w:color w:val="000000"/>
          <w:sz w:val="24"/>
          <w:szCs w:val="24"/>
        </w:rPr>
        <w:t>4.436</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股权。</w:t>
      </w:r>
    </w:p>
    <w:tbl>
      <w:tblPr>
        <w:tblStyle w:val="a8"/>
        <w:tblW w:w="5000" w:type="pct"/>
        <w:tblLook w:val="04A0" w:firstRow="1" w:lastRow="0" w:firstColumn="1" w:lastColumn="0" w:noHBand="0" w:noVBand="1"/>
      </w:tblPr>
      <w:tblGrid>
        <w:gridCol w:w="2608"/>
        <w:gridCol w:w="1517"/>
        <w:gridCol w:w="1464"/>
        <w:gridCol w:w="1469"/>
        <w:gridCol w:w="1464"/>
      </w:tblGrid>
      <w:tr w:rsidR="00BD3166" w14:paraId="4293CEB8" w14:textId="77777777">
        <w:tc>
          <w:tcPr>
            <w:tcW w:w="1530" w:type="pct"/>
            <w:vMerge w:val="restart"/>
            <w:vAlign w:val="center"/>
          </w:tcPr>
          <w:p w14:paraId="60E25ACD" w14:textId="77777777" w:rsidR="00BD3166" w:rsidRDefault="00C64679">
            <w:pPr>
              <w:jc w:val="center"/>
              <w:outlineLvl w:val="1"/>
              <w:rPr>
                <w:rFonts w:ascii="Times New Roman" w:eastAsia="宋体" w:hAnsi="Times New Roman" w:cs="Times New Roman"/>
                <w:b/>
                <w:bCs/>
                <w:color w:val="000000"/>
                <w:szCs w:val="21"/>
              </w:rPr>
            </w:pPr>
            <w:r>
              <w:rPr>
                <w:rFonts w:ascii="Times New Roman" w:eastAsia="宋体" w:hAnsi="Times New Roman" w:cs="Times New Roman" w:hint="eastAsia"/>
                <w:b/>
                <w:bCs/>
                <w:color w:val="000000"/>
                <w:szCs w:val="21"/>
              </w:rPr>
              <w:t>股东</w:t>
            </w:r>
          </w:p>
        </w:tc>
        <w:tc>
          <w:tcPr>
            <w:tcW w:w="1749" w:type="pct"/>
            <w:gridSpan w:val="2"/>
            <w:vAlign w:val="center"/>
          </w:tcPr>
          <w:p w14:paraId="66C261C2" w14:textId="77777777" w:rsidR="00BD3166" w:rsidRDefault="00C64679">
            <w:pPr>
              <w:jc w:val="center"/>
              <w:outlineLvl w:val="1"/>
              <w:rPr>
                <w:rFonts w:ascii="Times New Roman" w:eastAsia="宋体" w:hAnsi="Times New Roman" w:cs="Times New Roman"/>
                <w:b/>
                <w:bCs/>
                <w:color w:val="000000"/>
                <w:szCs w:val="21"/>
              </w:rPr>
            </w:pPr>
            <w:r>
              <w:rPr>
                <w:rFonts w:ascii="Times New Roman" w:eastAsia="宋体" w:hAnsi="Times New Roman" w:cs="Times New Roman"/>
                <w:b/>
                <w:bCs/>
                <w:color w:val="000000"/>
                <w:szCs w:val="21"/>
              </w:rPr>
              <w:t>增资前</w:t>
            </w:r>
          </w:p>
        </w:tc>
        <w:tc>
          <w:tcPr>
            <w:tcW w:w="1721" w:type="pct"/>
            <w:gridSpan w:val="2"/>
            <w:vAlign w:val="center"/>
          </w:tcPr>
          <w:p w14:paraId="4A2D2FE9" w14:textId="77777777" w:rsidR="00BD3166" w:rsidRDefault="00C64679">
            <w:pPr>
              <w:jc w:val="center"/>
              <w:outlineLvl w:val="1"/>
              <w:rPr>
                <w:rFonts w:ascii="Times New Roman" w:eastAsia="宋体" w:hAnsi="Times New Roman" w:cs="Times New Roman"/>
                <w:b/>
                <w:bCs/>
                <w:color w:val="000000"/>
                <w:szCs w:val="21"/>
              </w:rPr>
            </w:pPr>
            <w:r>
              <w:rPr>
                <w:rFonts w:ascii="Times New Roman" w:eastAsia="宋体" w:hAnsi="Times New Roman" w:cs="Times New Roman"/>
                <w:b/>
                <w:bCs/>
                <w:color w:val="000000"/>
                <w:szCs w:val="21"/>
              </w:rPr>
              <w:t>增资后</w:t>
            </w:r>
          </w:p>
        </w:tc>
      </w:tr>
      <w:tr w:rsidR="00BD3166" w14:paraId="4E480148" w14:textId="77777777">
        <w:tc>
          <w:tcPr>
            <w:tcW w:w="1530" w:type="pct"/>
            <w:vMerge/>
            <w:vAlign w:val="center"/>
          </w:tcPr>
          <w:p w14:paraId="3B6E30DA" w14:textId="77777777" w:rsidR="00BD3166" w:rsidRDefault="00BD3166">
            <w:pPr>
              <w:jc w:val="center"/>
              <w:outlineLvl w:val="1"/>
              <w:rPr>
                <w:rFonts w:ascii="Times New Roman" w:eastAsia="宋体" w:hAnsi="Times New Roman" w:cs="Times New Roman"/>
                <w:b/>
                <w:bCs/>
                <w:color w:val="000000"/>
                <w:szCs w:val="21"/>
              </w:rPr>
            </w:pPr>
          </w:p>
        </w:tc>
        <w:tc>
          <w:tcPr>
            <w:tcW w:w="890" w:type="pct"/>
            <w:vAlign w:val="center"/>
          </w:tcPr>
          <w:p w14:paraId="0D54E407" w14:textId="77777777" w:rsidR="00BD3166" w:rsidRDefault="00C64679">
            <w:pPr>
              <w:jc w:val="center"/>
              <w:outlineLvl w:val="1"/>
              <w:rPr>
                <w:rFonts w:ascii="Times New Roman" w:eastAsia="宋体" w:hAnsi="Times New Roman" w:cs="Times New Roman"/>
                <w:b/>
                <w:bCs/>
                <w:color w:val="000000"/>
                <w:szCs w:val="21"/>
              </w:rPr>
            </w:pPr>
            <w:r>
              <w:rPr>
                <w:rFonts w:ascii="Times New Roman" w:eastAsia="宋体" w:hAnsi="Times New Roman" w:cs="Times New Roman"/>
                <w:b/>
                <w:bCs/>
                <w:color w:val="000000"/>
                <w:szCs w:val="21"/>
              </w:rPr>
              <w:t>认缴注册资本（万元）</w:t>
            </w:r>
          </w:p>
        </w:tc>
        <w:tc>
          <w:tcPr>
            <w:tcW w:w="859" w:type="pct"/>
            <w:vAlign w:val="center"/>
          </w:tcPr>
          <w:p w14:paraId="0CBCA94D" w14:textId="77777777" w:rsidR="00BD3166" w:rsidRDefault="00C64679">
            <w:pPr>
              <w:jc w:val="center"/>
              <w:outlineLvl w:val="1"/>
              <w:rPr>
                <w:rFonts w:ascii="Times New Roman" w:eastAsia="宋体" w:hAnsi="Times New Roman" w:cs="Times New Roman"/>
                <w:b/>
                <w:bCs/>
                <w:color w:val="000000"/>
                <w:szCs w:val="21"/>
              </w:rPr>
            </w:pPr>
            <w:r>
              <w:rPr>
                <w:rFonts w:ascii="Times New Roman" w:eastAsia="宋体" w:hAnsi="Times New Roman" w:cs="Times New Roman" w:hint="eastAsia"/>
                <w:b/>
                <w:bCs/>
                <w:color w:val="000000"/>
                <w:szCs w:val="21"/>
              </w:rPr>
              <w:t>持股比例</w:t>
            </w:r>
          </w:p>
        </w:tc>
        <w:tc>
          <w:tcPr>
            <w:tcW w:w="862" w:type="pct"/>
            <w:vAlign w:val="center"/>
          </w:tcPr>
          <w:p w14:paraId="3CB7B0C3" w14:textId="77777777" w:rsidR="00BD3166" w:rsidRDefault="00C64679">
            <w:pPr>
              <w:jc w:val="center"/>
              <w:outlineLvl w:val="1"/>
              <w:rPr>
                <w:rFonts w:ascii="Times New Roman" w:eastAsia="宋体" w:hAnsi="Times New Roman" w:cs="Times New Roman"/>
                <w:b/>
                <w:bCs/>
                <w:color w:val="000000"/>
                <w:szCs w:val="21"/>
              </w:rPr>
            </w:pPr>
            <w:r>
              <w:rPr>
                <w:rFonts w:ascii="Times New Roman" w:eastAsia="宋体" w:hAnsi="Times New Roman" w:cs="Times New Roman"/>
                <w:b/>
                <w:bCs/>
                <w:color w:val="000000"/>
                <w:szCs w:val="21"/>
              </w:rPr>
              <w:t>认缴注册资本（万元）</w:t>
            </w:r>
          </w:p>
        </w:tc>
        <w:tc>
          <w:tcPr>
            <w:tcW w:w="859" w:type="pct"/>
            <w:vAlign w:val="center"/>
          </w:tcPr>
          <w:p w14:paraId="6E04EEBF" w14:textId="77777777" w:rsidR="00BD3166" w:rsidRDefault="00C64679">
            <w:pPr>
              <w:jc w:val="center"/>
              <w:outlineLvl w:val="1"/>
              <w:rPr>
                <w:rFonts w:ascii="Times New Roman" w:eastAsia="宋体" w:hAnsi="Times New Roman" w:cs="Times New Roman"/>
                <w:b/>
                <w:bCs/>
                <w:color w:val="000000"/>
                <w:szCs w:val="21"/>
              </w:rPr>
            </w:pPr>
            <w:r>
              <w:rPr>
                <w:rFonts w:ascii="Times New Roman" w:eastAsia="宋体" w:hAnsi="Times New Roman" w:cs="Times New Roman" w:hint="eastAsia"/>
                <w:b/>
                <w:bCs/>
                <w:color w:val="000000"/>
                <w:szCs w:val="21"/>
              </w:rPr>
              <w:t>持股比例</w:t>
            </w:r>
          </w:p>
        </w:tc>
      </w:tr>
      <w:tr w:rsidR="00BD3166" w14:paraId="22E36A23" w14:textId="77777777">
        <w:tc>
          <w:tcPr>
            <w:tcW w:w="1530" w:type="pct"/>
            <w:vAlign w:val="center"/>
          </w:tcPr>
          <w:p w14:paraId="3B661693" w14:textId="77777777" w:rsidR="00BD3166" w:rsidRDefault="00C64679">
            <w:pPr>
              <w:outlineLvl w:val="1"/>
              <w:rPr>
                <w:rFonts w:ascii="Times New Roman" w:eastAsia="宋体" w:hAnsi="Times New Roman" w:cs="Times New Roman"/>
                <w:color w:val="000000"/>
                <w:szCs w:val="21"/>
              </w:rPr>
            </w:pPr>
            <w:r>
              <w:rPr>
                <w:rFonts w:ascii="Times New Roman" w:eastAsia="宋体" w:hAnsi="Times New Roman" w:cs="Times New Roman"/>
                <w:color w:val="000000"/>
                <w:szCs w:val="21"/>
              </w:rPr>
              <w:t>大唐半导体设计有限公司</w:t>
            </w:r>
          </w:p>
        </w:tc>
        <w:tc>
          <w:tcPr>
            <w:tcW w:w="890" w:type="pct"/>
            <w:vAlign w:val="center"/>
          </w:tcPr>
          <w:p w14:paraId="567CE310" w14:textId="77777777" w:rsidR="00BD3166" w:rsidRDefault="00C64679">
            <w:pPr>
              <w:jc w:val="right"/>
              <w:outlineLvl w:val="1"/>
              <w:rPr>
                <w:rFonts w:ascii="Times New Roman" w:eastAsia="宋体" w:hAnsi="Times New Roman" w:cs="Times New Roman"/>
                <w:color w:val="000000"/>
                <w:szCs w:val="21"/>
              </w:rPr>
            </w:pPr>
            <w:r>
              <w:rPr>
                <w:rFonts w:ascii="Times New Roman" w:eastAsia="宋体" w:hAnsi="Times New Roman" w:cs="Times New Roman"/>
                <w:color w:val="000000"/>
                <w:szCs w:val="21"/>
              </w:rPr>
              <w:t>19,400</w:t>
            </w:r>
          </w:p>
        </w:tc>
        <w:tc>
          <w:tcPr>
            <w:tcW w:w="859" w:type="pct"/>
            <w:vAlign w:val="center"/>
          </w:tcPr>
          <w:p w14:paraId="101FB89A" w14:textId="77777777" w:rsidR="00BD3166" w:rsidRDefault="00C64679">
            <w:pPr>
              <w:jc w:val="right"/>
              <w:outlineLvl w:val="1"/>
              <w:rPr>
                <w:rFonts w:ascii="Times New Roman" w:eastAsia="宋体" w:hAnsi="Times New Roman" w:cs="Times New Roman"/>
                <w:color w:val="000000"/>
                <w:szCs w:val="21"/>
              </w:rPr>
            </w:pPr>
            <w:r>
              <w:rPr>
                <w:rFonts w:ascii="Times New Roman" w:eastAsia="宋体" w:hAnsi="Times New Roman" w:cs="Times New Roman"/>
                <w:color w:val="000000"/>
                <w:szCs w:val="21"/>
              </w:rPr>
              <w:t>95%</w:t>
            </w:r>
          </w:p>
        </w:tc>
        <w:tc>
          <w:tcPr>
            <w:tcW w:w="862" w:type="pct"/>
            <w:vAlign w:val="center"/>
          </w:tcPr>
          <w:p w14:paraId="2BF9B2FB" w14:textId="77777777" w:rsidR="00BD3166" w:rsidRDefault="00C64679">
            <w:pPr>
              <w:jc w:val="right"/>
              <w:outlineLvl w:val="1"/>
              <w:rPr>
                <w:rFonts w:ascii="Times New Roman" w:eastAsia="宋体" w:hAnsi="Times New Roman" w:cs="Times New Roman"/>
                <w:color w:val="000000"/>
                <w:szCs w:val="21"/>
              </w:rPr>
            </w:pPr>
            <w:r>
              <w:rPr>
                <w:rFonts w:ascii="Times New Roman" w:eastAsia="宋体" w:hAnsi="Times New Roman" w:cs="Times New Roman"/>
                <w:color w:val="000000"/>
                <w:szCs w:val="21"/>
              </w:rPr>
              <w:t>19,400</w:t>
            </w:r>
          </w:p>
        </w:tc>
        <w:tc>
          <w:tcPr>
            <w:tcW w:w="859" w:type="pct"/>
            <w:vAlign w:val="center"/>
          </w:tcPr>
          <w:p w14:paraId="25540227" w14:textId="77777777" w:rsidR="00BD3166" w:rsidRDefault="00C64679">
            <w:pPr>
              <w:jc w:val="right"/>
              <w:outlineLvl w:val="1"/>
              <w:rPr>
                <w:rFonts w:ascii="Times New Roman" w:eastAsia="宋体" w:hAnsi="Times New Roman" w:cs="Times New Roman"/>
                <w:color w:val="000000"/>
                <w:szCs w:val="21"/>
              </w:rPr>
            </w:pPr>
            <w:r>
              <w:rPr>
                <w:rFonts w:ascii="Times New Roman" w:eastAsia="宋体" w:hAnsi="Times New Roman" w:cs="Times New Roman"/>
                <w:szCs w:val="21"/>
              </w:rPr>
              <w:t>71.786%</w:t>
            </w:r>
          </w:p>
        </w:tc>
      </w:tr>
      <w:tr w:rsidR="00BD3166" w14:paraId="7A16BA56" w14:textId="77777777">
        <w:tc>
          <w:tcPr>
            <w:tcW w:w="1530" w:type="pct"/>
            <w:vAlign w:val="center"/>
          </w:tcPr>
          <w:p w14:paraId="096B7DA3" w14:textId="77777777" w:rsidR="00BD3166" w:rsidRDefault="00C64679">
            <w:pPr>
              <w:outlineLvl w:val="1"/>
              <w:rPr>
                <w:rFonts w:ascii="Times New Roman" w:eastAsia="宋体" w:hAnsi="Times New Roman" w:cs="Times New Roman"/>
                <w:color w:val="000000"/>
                <w:szCs w:val="21"/>
              </w:rPr>
            </w:pPr>
            <w:r>
              <w:rPr>
                <w:rFonts w:ascii="Times New Roman" w:eastAsia="宋体" w:hAnsi="Times New Roman" w:cs="Times New Roman"/>
                <w:color w:val="000000"/>
                <w:szCs w:val="21"/>
              </w:rPr>
              <w:t>公安部第一研究所</w:t>
            </w:r>
          </w:p>
        </w:tc>
        <w:tc>
          <w:tcPr>
            <w:tcW w:w="890" w:type="pct"/>
            <w:vAlign w:val="center"/>
          </w:tcPr>
          <w:p w14:paraId="7BBF7D2D" w14:textId="77777777" w:rsidR="00BD3166" w:rsidRDefault="00C64679">
            <w:pPr>
              <w:jc w:val="right"/>
              <w:outlineLvl w:val="1"/>
              <w:rPr>
                <w:rFonts w:ascii="Times New Roman" w:eastAsia="宋体" w:hAnsi="Times New Roman" w:cs="Times New Roman"/>
                <w:color w:val="000000"/>
                <w:szCs w:val="21"/>
              </w:rPr>
            </w:pPr>
            <w:r>
              <w:rPr>
                <w:rFonts w:ascii="Times New Roman" w:eastAsia="宋体" w:hAnsi="Times New Roman" w:cs="Times New Roman"/>
                <w:color w:val="000000"/>
                <w:szCs w:val="21"/>
              </w:rPr>
              <w:t>1,021.05</w:t>
            </w:r>
          </w:p>
        </w:tc>
        <w:tc>
          <w:tcPr>
            <w:tcW w:w="859" w:type="pct"/>
            <w:vAlign w:val="center"/>
          </w:tcPr>
          <w:p w14:paraId="7C321291" w14:textId="77777777" w:rsidR="00BD3166" w:rsidRDefault="00C64679">
            <w:pPr>
              <w:jc w:val="right"/>
              <w:outlineLvl w:val="1"/>
              <w:rPr>
                <w:rFonts w:ascii="Times New Roman" w:eastAsia="宋体" w:hAnsi="Times New Roman" w:cs="Times New Roman"/>
                <w:color w:val="000000"/>
                <w:szCs w:val="21"/>
              </w:rPr>
            </w:pPr>
            <w:r>
              <w:rPr>
                <w:rFonts w:ascii="Times New Roman" w:eastAsia="宋体" w:hAnsi="Times New Roman" w:cs="Times New Roman"/>
                <w:szCs w:val="21"/>
              </w:rPr>
              <w:t>5%</w:t>
            </w:r>
          </w:p>
        </w:tc>
        <w:tc>
          <w:tcPr>
            <w:tcW w:w="862" w:type="pct"/>
            <w:vAlign w:val="center"/>
          </w:tcPr>
          <w:p w14:paraId="27FF422F" w14:textId="77777777" w:rsidR="00BD3166" w:rsidRDefault="00C64679">
            <w:pPr>
              <w:jc w:val="right"/>
              <w:outlineLvl w:val="1"/>
              <w:rPr>
                <w:rFonts w:ascii="Times New Roman" w:eastAsia="宋体" w:hAnsi="Times New Roman" w:cs="Times New Roman"/>
                <w:color w:val="000000"/>
                <w:szCs w:val="21"/>
              </w:rPr>
            </w:pPr>
            <w:r>
              <w:rPr>
                <w:rFonts w:ascii="Times New Roman" w:eastAsia="宋体" w:hAnsi="Times New Roman" w:cs="Times New Roman"/>
                <w:color w:val="000000"/>
                <w:szCs w:val="21"/>
              </w:rPr>
              <w:t>1,021.05</w:t>
            </w:r>
          </w:p>
        </w:tc>
        <w:tc>
          <w:tcPr>
            <w:tcW w:w="859" w:type="pct"/>
            <w:vAlign w:val="center"/>
          </w:tcPr>
          <w:p w14:paraId="069AC225" w14:textId="77777777" w:rsidR="00BD3166" w:rsidRDefault="00C64679">
            <w:pPr>
              <w:jc w:val="right"/>
              <w:outlineLvl w:val="1"/>
              <w:rPr>
                <w:rFonts w:ascii="Times New Roman" w:eastAsia="宋体" w:hAnsi="Times New Roman" w:cs="Times New Roman"/>
                <w:color w:val="000000"/>
                <w:szCs w:val="21"/>
              </w:rPr>
            </w:pPr>
            <w:r>
              <w:rPr>
                <w:rFonts w:ascii="Times New Roman" w:eastAsia="宋体" w:hAnsi="Times New Roman" w:cs="Times New Roman"/>
                <w:szCs w:val="21"/>
              </w:rPr>
              <w:t>3.778%</w:t>
            </w:r>
          </w:p>
        </w:tc>
      </w:tr>
      <w:tr w:rsidR="00BD3166" w14:paraId="0D8C21A7" w14:textId="77777777">
        <w:tc>
          <w:tcPr>
            <w:tcW w:w="1530" w:type="pct"/>
            <w:vAlign w:val="center"/>
          </w:tcPr>
          <w:p w14:paraId="54F77E96" w14:textId="77777777" w:rsidR="00BD3166" w:rsidRDefault="00C64679">
            <w:pPr>
              <w:outlineLvl w:val="1"/>
              <w:rPr>
                <w:rFonts w:ascii="Times New Roman" w:eastAsia="宋体" w:hAnsi="Times New Roman" w:cs="Times New Roman"/>
                <w:color w:val="000000"/>
                <w:szCs w:val="21"/>
              </w:rPr>
            </w:pPr>
            <w:r>
              <w:rPr>
                <w:rFonts w:ascii="Times New Roman" w:eastAsia="宋体" w:hAnsi="Times New Roman" w:cs="Times New Roman"/>
                <w:color w:val="000000"/>
                <w:szCs w:val="21"/>
              </w:rPr>
              <w:t>国</w:t>
            </w:r>
            <w:proofErr w:type="gramStart"/>
            <w:r>
              <w:rPr>
                <w:rFonts w:ascii="Times New Roman" w:eastAsia="宋体" w:hAnsi="Times New Roman" w:cs="Times New Roman"/>
                <w:color w:val="000000"/>
                <w:szCs w:val="21"/>
              </w:rPr>
              <w:t>新建信</w:t>
            </w:r>
            <w:proofErr w:type="gramEnd"/>
            <w:r>
              <w:rPr>
                <w:rFonts w:ascii="Times New Roman" w:eastAsia="宋体" w:hAnsi="Times New Roman" w:cs="Times New Roman"/>
                <w:color w:val="000000"/>
                <w:szCs w:val="21"/>
              </w:rPr>
              <w:t>基金</w:t>
            </w:r>
          </w:p>
        </w:tc>
        <w:tc>
          <w:tcPr>
            <w:tcW w:w="890" w:type="pct"/>
            <w:vAlign w:val="center"/>
          </w:tcPr>
          <w:p w14:paraId="35C01862" w14:textId="77777777" w:rsidR="00BD3166" w:rsidRDefault="00BD3166">
            <w:pPr>
              <w:jc w:val="right"/>
              <w:outlineLvl w:val="1"/>
              <w:rPr>
                <w:rFonts w:ascii="Times New Roman" w:eastAsia="宋体" w:hAnsi="Times New Roman" w:cs="Times New Roman"/>
                <w:color w:val="000000"/>
                <w:szCs w:val="21"/>
              </w:rPr>
            </w:pPr>
          </w:p>
        </w:tc>
        <w:tc>
          <w:tcPr>
            <w:tcW w:w="859" w:type="pct"/>
            <w:vAlign w:val="center"/>
          </w:tcPr>
          <w:p w14:paraId="257443EA" w14:textId="77777777" w:rsidR="00BD3166" w:rsidRDefault="00BD3166">
            <w:pPr>
              <w:jc w:val="right"/>
              <w:outlineLvl w:val="1"/>
              <w:rPr>
                <w:rFonts w:ascii="Times New Roman" w:eastAsia="宋体" w:hAnsi="Times New Roman" w:cs="Times New Roman"/>
                <w:color w:val="000000"/>
                <w:szCs w:val="21"/>
              </w:rPr>
            </w:pPr>
          </w:p>
        </w:tc>
        <w:tc>
          <w:tcPr>
            <w:tcW w:w="862" w:type="pct"/>
            <w:vAlign w:val="center"/>
          </w:tcPr>
          <w:p w14:paraId="785E3974" w14:textId="77777777" w:rsidR="00BD3166" w:rsidRDefault="00C64679">
            <w:pPr>
              <w:jc w:val="right"/>
              <w:outlineLvl w:val="1"/>
              <w:rPr>
                <w:rFonts w:ascii="Times New Roman" w:eastAsia="宋体" w:hAnsi="Times New Roman" w:cs="Times New Roman"/>
                <w:color w:val="000000"/>
                <w:szCs w:val="21"/>
              </w:rPr>
            </w:pPr>
            <w:r>
              <w:rPr>
                <w:rFonts w:ascii="Times New Roman" w:eastAsia="宋体" w:hAnsi="Times New Roman" w:cs="Times New Roman"/>
                <w:color w:val="000000"/>
                <w:szCs w:val="21"/>
              </w:rPr>
              <w:t>6,603.65</w:t>
            </w:r>
          </w:p>
        </w:tc>
        <w:tc>
          <w:tcPr>
            <w:tcW w:w="859" w:type="pct"/>
            <w:vAlign w:val="center"/>
          </w:tcPr>
          <w:p w14:paraId="51CF01FD" w14:textId="77777777" w:rsidR="00BD3166" w:rsidRDefault="00C64679">
            <w:pPr>
              <w:jc w:val="right"/>
              <w:outlineLvl w:val="1"/>
              <w:rPr>
                <w:rFonts w:ascii="Times New Roman" w:eastAsia="宋体" w:hAnsi="Times New Roman" w:cs="Times New Roman"/>
                <w:color w:val="000000"/>
                <w:szCs w:val="21"/>
              </w:rPr>
            </w:pPr>
            <w:r>
              <w:rPr>
                <w:rFonts w:ascii="Times New Roman" w:eastAsia="宋体" w:hAnsi="Times New Roman" w:cs="Times New Roman"/>
                <w:szCs w:val="21"/>
              </w:rPr>
              <w:t>24.436%</w:t>
            </w:r>
          </w:p>
        </w:tc>
      </w:tr>
      <w:tr w:rsidR="00BD3166" w14:paraId="21D73CDA" w14:textId="77777777">
        <w:tc>
          <w:tcPr>
            <w:tcW w:w="1530" w:type="pct"/>
            <w:vAlign w:val="center"/>
          </w:tcPr>
          <w:p w14:paraId="53F3B5DE" w14:textId="77777777" w:rsidR="00BD3166" w:rsidRDefault="00C64679">
            <w:pPr>
              <w:outlineLvl w:val="1"/>
              <w:rPr>
                <w:rFonts w:ascii="Times New Roman" w:eastAsia="宋体" w:hAnsi="Times New Roman" w:cs="Times New Roman"/>
                <w:b/>
                <w:bCs/>
                <w:color w:val="000000"/>
                <w:szCs w:val="21"/>
              </w:rPr>
            </w:pPr>
            <w:r>
              <w:rPr>
                <w:rFonts w:ascii="Times New Roman" w:eastAsia="宋体" w:hAnsi="Times New Roman" w:cs="Times New Roman"/>
                <w:b/>
                <w:bCs/>
                <w:color w:val="000000"/>
                <w:szCs w:val="21"/>
              </w:rPr>
              <w:t>合计</w:t>
            </w:r>
          </w:p>
        </w:tc>
        <w:tc>
          <w:tcPr>
            <w:tcW w:w="890" w:type="pct"/>
            <w:vAlign w:val="center"/>
          </w:tcPr>
          <w:p w14:paraId="4794FA50" w14:textId="77777777" w:rsidR="00BD3166" w:rsidRDefault="00C64679">
            <w:pPr>
              <w:jc w:val="right"/>
              <w:outlineLvl w:val="1"/>
              <w:rPr>
                <w:rFonts w:ascii="Times New Roman" w:eastAsia="宋体" w:hAnsi="Times New Roman" w:cs="Times New Roman"/>
                <w:b/>
                <w:bCs/>
                <w:color w:val="000000"/>
                <w:szCs w:val="21"/>
              </w:rPr>
            </w:pPr>
            <w:r>
              <w:rPr>
                <w:rFonts w:ascii="Times New Roman" w:eastAsia="宋体" w:hAnsi="Times New Roman" w:cs="Times New Roman"/>
                <w:b/>
                <w:bCs/>
                <w:color w:val="000000"/>
                <w:szCs w:val="21"/>
              </w:rPr>
              <w:t>20,421.05</w:t>
            </w:r>
          </w:p>
        </w:tc>
        <w:tc>
          <w:tcPr>
            <w:tcW w:w="859" w:type="pct"/>
            <w:vAlign w:val="center"/>
          </w:tcPr>
          <w:p w14:paraId="3953A1C9" w14:textId="77777777" w:rsidR="00BD3166" w:rsidRDefault="00C64679">
            <w:pPr>
              <w:jc w:val="right"/>
              <w:outlineLvl w:val="1"/>
              <w:rPr>
                <w:rFonts w:ascii="Times New Roman" w:eastAsia="宋体" w:hAnsi="Times New Roman" w:cs="Times New Roman"/>
                <w:b/>
                <w:bCs/>
                <w:color w:val="000000"/>
                <w:szCs w:val="21"/>
              </w:rPr>
            </w:pPr>
            <w:r>
              <w:rPr>
                <w:rFonts w:ascii="Times New Roman" w:eastAsia="宋体" w:hAnsi="Times New Roman" w:cs="Times New Roman"/>
                <w:b/>
                <w:bCs/>
                <w:color w:val="000000"/>
                <w:szCs w:val="21"/>
              </w:rPr>
              <w:t>100%</w:t>
            </w:r>
          </w:p>
        </w:tc>
        <w:tc>
          <w:tcPr>
            <w:tcW w:w="862" w:type="pct"/>
            <w:vAlign w:val="center"/>
          </w:tcPr>
          <w:p w14:paraId="587263E0" w14:textId="77777777" w:rsidR="00BD3166" w:rsidRDefault="00C64679">
            <w:pPr>
              <w:jc w:val="right"/>
              <w:outlineLvl w:val="1"/>
              <w:rPr>
                <w:rFonts w:ascii="Times New Roman" w:eastAsia="宋体" w:hAnsi="Times New Roman" w:cs="Times New Roman"/>
                <w:b/>
                <w:bCs/>
                <w:color w:val="000000"/>
                <w:szCs w:val="21"/>
              </w:rPr>
            </w:pPr>
            <w:r>
              <w:rPr>
                <w:rFonts w:ascii="Times New Roman" w:eastAsia="宋体" w:hAnsi="Times New Roman" w:cs="Times New Roman"/>
                <w:b/>
                <w:bCs/>
                <w:color w:val="000000"/>
                <w:szCs w:val="21"/>
              </w:rPr>
              <w:t>27,024.70</w:t>
            </w:r>
          </w:p>
        </w:tc>
        <w:tc>
          <w:tcPr>
            <w:tcW w:w="859" w:type="pct"/>
            <w:vAlign w:val="center"/>
          </w:tcPr>
          <w:p w14:paraId="376E69A2" w14:textId="77777777" w:rsidR="00BD3166" w:rsidRDefault="00C64679">
            <w:pPr>
              <w:jc w:val="right"/>
              <w:outlineLvl w:val="1"/>
              <w:rPr>
                <w:rFonts w:ascii="Times New Roman" w:eastAsia="宋体" w:hAnsi="Times New Roman" w:cs="Times New Roman"/>
                <w:b/>
                <w:bCs/>
                <w:color w:val="000000"/>
                <w:szCs w:val="21"/>
              </w:rPr>
            </w:pPr>
            <w:r>
              <w:rPr>
                <w:rFonts w:ascii="Times New Roman" w:eastAsia="宋体" w:hAnsi="Times New Roman" w:cs="Times New Roman"/>
                <w:b/>
                <w:bCs/>
                <w:szCs w:val="21"/>
              </w:rPr>
              <w:t>100.00%</w:t>
            </w:r>
          </w:p>
        </w:tc>
      </w:tr>
    </w:tbl>
    <w:p w14:paraId="5946383B"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（二）本次增资后标的公司董事会中大唐半导体提名董事人数仍高于二分之一、股东会与董事会重大事项一票否决权设定不影响控制权认定</w:t>
      </w:r>
    </w:p>
    <w:p w14:paraId="75E822BF"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本次增资前，大唐微电子董事会由</w:t>
      </w:r>
      <w:r>
        <w:rPr>
          <w:rFonts w:ascii="Times New Roman" w:eastAsia="宋体" w:hAnsi="Times New Roman" w:cs="Times New Roman" w:hint="eastAsia"/>
          <w:color w:val="000000"/>
          <w:sz w:val="24"/>
          <w:szCs w:val="24"/>
        </w:rPr>
        <w:t>5</w:t>
      </w:r>
      <w:r>
        <w:rPr>
          <w:rFonts w:ascii="Times New Roman" w:eastAsia="宋体" w:hAnsi="Times New Roman" w:cs="Times New Roman" w:hint="eastAsia"/>
          <w:color w:val="000000"/>
          <w:sz w:val="24"/>
          <w:szCs w:val="24"/>
        </w:rPr>
        <w:t>名董事组成，其中大唐半导体提名</w:t>
      </w:r>
      <w:r>
        <w:rPr>
          <w:rFonts w:ascii="Times New Roman" w:eastAsia="宋体" w:hAnsi="Times New Roman" w:cs="Times New Roman" w:hint="eastAsia"/>
          <w:color w:val="000000"/>
          <w:sz w:val="24"/>
          <w:szCs w:val="24"/>
        </w:rPr>
        <w:t>4</w:t>
      </w:r>
      <w:r>
        <w:rPr>
          <w:rFonts w:ascii="Times New Roman" w:eastAsia="宋体" w:hAnsi="Times New Roman" w:cs="Times New Roman" w:hint="eastAsia"/>
          <w:color w:val="000000"/>
          <w:sz w:val="24"/>
          <w:szCs w:val="24"/>
        </w:rPr>
        <w:t>名，公安部第一研究所提名</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名；本次增资后，大唐微电子董事会由</w:t>
      </w:r>
      <w:r>
        <w:rPr>
          <w:rFonts w:ascii="Times New Roman" w:eastAsia="宋体" w:hAnsi="Times New Roman" w:cs="Times New Roman" w:hint="eastAsia"/>
          <w:color w:val="000000"/>
          <w:sz w:val="24"/>
          <w:szCs w:val="24"/>
        </w:rPr>
        <w:t>9</w:t>
      </w:r>
      <w:r>
        <w:rPr>
          <w:rFonts w:ascii="Times New Roman" w:eastAsia="宋体" w:hAnsi="Times New Roman" w:cs="Times New Roman" w:hint="eastAsia"/>
          <w:color w:val="000000"/>
          <w:sz w:val="24"/>
          <w:szCs w:val="24"/>
        </w:rPr>
        <w:t>名董事组成，其中大唐半导体提名</w:t>
      </w:r>
      <w:r>
        <w:rPr>
          <w:rFonts w:ascii="Times New Roman" w:eastAsia="宋体" w:hAnsi="Times New Roman" w:cs="Times New Roman" w:hint="eastAsia"/>
          <w:color w:val="000000"/>
          <w:sz w:val="24"/>
          <w:szCs w:val="24"/>
        </w:rPr>
        <w:t>5</w:t>
      </w:r>
      <w:r>
        <w:rPr>
          <w:rFonts w:ascii="Times New Roman" w:eastAsia="宋体" w:hAnsi="Times New Roman" w:cs="Times New Roman" w:hint="eastAsia"/>
          <w:color w:val="000000"/>
          <w:sz w:val="24"/>
          <w:szCs w:val="24"/>
        </w:rPr>
        <w:t>名，公安部第一研究所提名</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名，国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基金提名</w:t>
      </w:r>
      <w:r>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名，职工代表大会选举</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名职工担任职工董事，其中董事长由大唐半导体推选的董事担</w:t>
      </w:r>
      <w:r>
        <w:rPr>
          <w:rFonts w:ascii="Times New Roman" w:eastAsia="宋体" w:hAnsi="Times New Roman" w:cs="Times New Roman" w:hint="eastAsia"/>
          <w:color w:val="000000"/>
          <w:sz w:val="24"/>
          <w:szCs w:val="24"/>
        </w:rPr>
        <w:lastRenderedPageBreak/>
        <w:t>任。本次增资前后，大唐半导体提名董事人数均高于董事总人数的二分之一。</w:t>
      </w:r>
    </w:p>
    <w:p w14:paraId="6589E821"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本次增资完成后，国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基金持股期间，大唐微电子股东会审议以下相关事项，需取得包括国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基金在内的代表二分之一以上表决权的股东通过：（</w:t>
      </w: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）决定公司的经营方针和投资计划；（</w:t>
      </w:r>
      <w:r>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）审议批准公司利润分配方案和弥补亏损方案；（</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）对发行公司债券</w:t>
      </w:r>
      <w:proofErr w:type="gramStart"/>
      <w:r>
        <w:rPr>
          <w:rFonts w:ascii="Times New Roman" w:eastAsia="宋体" w:hAnsi="Times New Roman" w:cs="Times New Roman" w:hint="eastAsia"/>
          <w:color w:val="000000"/>
          <w:sz w:val="24"/>
          <w:szCs w:val="24"/>
        </w:rPr>
        <w:t>作出</w:t>
      </w:r>
      <w:proofErr w:type="gramEnd"/>
      <w:r>
        <w:rPr>
          <w:rFonts w:ascii="Times New Roman" w:eastAsia="宋体" w:hAnsi="Times New Roman" w:cs="Times New Roman" w:hint="eastAsia"/>
          <w:color w:val="000000"/>
          <w:sz w:val="24"/>
          <w:szCs w:val="24"/>
        </w:rPr>
        <w:t>决议；（</w:t>
      </w:r>
      <w:r>
        <w:rPr>
          <w:rFonts w:ascii="Times New Roman" w:eastAsia="宋体" w:hAnsi="Times New Roman" w:cs="Times New Roman" w:hint="eastAsia"/>
          <w:color w:val="000000"/>
          <w:sz w:val="24"/>
          <w:szCs w:val="24"/>
        </w:rPr>
        <w:t>4</w:t>
      </w:r>
      <w:r>
        <w:rPr>
          <w:rFonts w:ascii="Times New Roman" w:eastAsia="宋体" w:hAnsi="Times New Roman" w:cs="Times New Roman" w:hint="eastAsia"/>
          <w:color w:val="000000"/>
          <w:sz w:val="24"/>
          <w:szCs w:val="24"/>
        </w:rPr>
        <w:t>）对公司向其他企业投资或者为他人提供担保（包括</w:t>
      </w:r>
      <w:r>
        <w:rPr>
          <w:rFonts w:ascii="Times New Roman" w:eastAsia="宋体" w:hAnsi="Times New Roman" w:cs="Times New Roman"/>
          <w:color w:val="000000"/>
          <w:sz w:val="24"/>
          <w:szCs w:val="24"/>
        </w:rPr>
        <w:t>但不限于抵押、质押、保证</w:t>
      </w:r>
      <w:r>
        <w:rPr>
          <w:rFonts w:ascii="Times New Roman" w:eastAsia="宋体" w:hAnsi="Times New Roman" w:cs="Times New Roman" w:hint="eastAsia"/>
          <w:color w:val="000000"/>
          <w:sz w:val="24"/>
          <w:szCs w:val="24"/>
        </w:rPr>
        <w:t>）</w:t>
      </w:r>
      <w:proofErr w:type="gramStart"/>
      <w:r>
        <w:rPr>
          <w:rFonts w:ascii="Times New Roman" w:eastAsia="宋体" w:hAnsi="Times New Roman" w:cs="Times New Roman" w:hint="eastAsia"/>
          <w:color w:val="000000"/>
          <w:sz w:val="24"/>
          <w:szCs w:val="24"/>
        </w:rPr>
        <w:t>作出</w:t>
      </w:r>
      <w:proofErr w:type="gramEnd"/>
      <w:r>
        <w:rPr>
          <w:rFonts w:ascii="Times New Roman" w:eastAsia="宋体" w:hAnsi="Times New Roman" w:cs="Times New Roman" w:hint="eastAsia"/>
          <w:color w:val="000000"/>
          <w:sz w:val="24"/>
          <w:szCs w:val="24"/>
        </w:rPr>
        <w:t>决议。股东会审议以下相关事项，需取得包括国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基金在内的代表三分之二以上表决权的股东通过：（</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）对公司增加或减少注册资本</w:t>
      </w:r>
      <w:proofErr w:type="gramStart"/>
      <w:r>
        <w:rPr>
          <w:rFonts w:ascii="Times New Roman" w:eastAsia="宋体" w:hAnsi="Times New Roman" w:cs="Times New Roman" w:hint="eastAsia"/>
          <w:color w:val="000000"/>
          <w:sz w:val="24"/>
          <w:szCs w:val="24"/>
        </w:rPr>
        <w:t>作出</w:t>
      </w:r>
      <w:proofErr w:type="gramEnd"/>
      <w:r>
        <w:rPr>
          <w:rFonts w:ascii="Times New Roman" w:eastAsia="宋体" w:hAnsi="Times New Roman" w:cs="Times New Roman" w:hint="eastAsia"/>
          <w:color w:val="000000"/>
          <w:sz w:val="24"/>
          <w:szCs w:val="24"/>
        </w:rPr>
        <w:t>决议；（</w:t>
      </w:r>
      <w:r>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）对公司合并、分立、解散、清算或者变更公司形式</w:t>
      </w:r>
      <w:proofErr w:type="gramStart"/>
      <w:r>
        <w:rPr>
          <w:rFonts w:ascii="Times New Roman" w:eastAsia="宋体" w:hAnsi="Times New Roman" w:cs="Times New Roman" w:hint="eastAsia"/>
          <w:color w:val="000000"/>
          <w:sz w:val="24"/>
          <w:szCs w:val="24"/>
        </w:rPr>
        <w:t>作出</w:t>
      </w:r>
      <w:proofErr w:type="gramEnd"/>
      <w:r>
        <w:rPr>
          <w:rFonts w:ascii="Times New Roman" w:eastAsia="宋体" w:hAnsi="Times New Roman" w:cs="Times New Roman" w:hint="eastAsia"/>
          <w:color w:val="000000"/>
          <w:sz w:val="24"/>
          <w:szCs w:val="24"/>
        </w:rPr>
        <w:t>决议；（</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）修改公司章程。</w:t>
      </w:r>
    </w:p>
    <w:p w14:paraId="769B25CF"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本次增资完成后，国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基金持股期间，大唐微电子董事会审议以下重大事项时，应由</w:t>
      </w:r>
      <w:proofErr w:type="gramStart"/>
      <w:r>
        <w:rPr>
          <w:rFonts w:ascii="Times New Roman" w:eastAsia="宋体" w:hAnsi="Times New Roman" w:cs="Times New Roman" w:hint="eastAsia"/>
          <w:color w:val="000000"/>
          <w:sz w:val="24"/>
          <w:szCs w:val="24"/>
        </w:rPr>
        <w:t>包含国新建信</w:t>
      </w:r>
      <w:proofErr w:type="gramEnd"/>
      <w:r>
        <w:rPr>
          <w:rFonts w:ascii="Times New Roman" w:eastAsia="宋体" w:hAnsi="Times New Roman" w:cs="Times New Roman" w:hint="eastAsia"/>
          <w:color w:val="000000"/>
          <w:sz w:val="24"/>
          <w:szCs w:val="24"/>
        </w:rPr>
        <w:t>基金提名的董事在内的全体董事过半数投赞成票方为有效决议：（</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）审议批准公司及其相关公司主营业务的变更；（</w:t>
      </w:r>
      <w:r>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）审议批准对外提供单笔金额超过</w:t>
      </w:r>
      <w:r>
        <w:rPr>
          <w:rFonts w:ascii="Times New Roman" w:eastAsia="宋体" w:hAnsi="Times New Roman" w:cs="Times New Roman" w:hint="eastAsia"/>
          <w:color w:val="000000"/>
          <w:sz w:val="24"/>
          <w:szCs w:val="24"/>
        </w:rPr>
        <w:t>5</w:t>
      </w:r>
      <w:r>
        <w:rPr>
          <w:rFonts w:ascii="Times New Roman" w:eastAsia="宋体" w:hAnsi="Times New Roman" w:cs="Times New Roman"/>
          <w:color w:val="000000"/>
          <w:sz w:val="24"/>
          <w:szCs w:val="24"/>
        </w:rPr>
        <w:t>00</w:t>
      </w:r>
      <w:r>
        <w:rPr>
          <w:rFonts w:ascii="Times New Roman" w:eastAsia="宋体" w:hAnsi="Times New Roman" w:cs="Times New Roman" w:hint="eastAsia"/>
          <w:color w:val="000000"/>
          <w:sz w:val="24"/>
          <w:szCs w:val="24"/>
        </w:rPr>
        <w:t>万元的融资，或年度累计金额超过</w:t>
      </w:r>
      <w:r>
        <w:rPr>
          <w:rFonts w:ascii="Times New Roman" w:eastAsia="宋体" w:hAnsi="Times New Roman" w:cs="Times New Roman" w:hint="eastAsia"/>
          <w:color w:val="000000"/>
          <w:sz w:val="24"/>
          <w:szCs w:val="24"/>
        </w:rPr>
        <w:t>1</w:t>
      </w:r>
      <w:r>
        <w:rPr>
          <w:rFonts w:ascii="Times New Roman" w:eastAsia="宋体" w:hAnsi="Times New Roman" w:cs="Times New Roman"/>
          <w:color w:val="000000"/>
          <w:sz w:val="24"/>
          <w:szCs w:val="24"/>
        </w:rPr>
        <w:t>000</w:t>
      </w:r>
      <w:r>
        <w:rPr>
          <w:rFonts w:ascii="Times New Roman" w:eastAsia="宋体" w:hAnsi="Times New Roman" w:cs="Times New Roman" w:hint="eastAsia"/>
          <w:color w:val="000000"/>
          <w:sz w:val="24"/>
          <w:szCs w:val="24"/>
        </w:rPr>
        <w:t>万元的融资；（</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）审议批准公司单笔金额超过上一年度经审计合并财务报告净资产账面值</w:t>
      </w:r>
      <w:r>
        <w:rPr>
          <w:rFonts w:ascii="Times New Roman" w:eastAsia="宋体" w:hAnsi="Times New Roman" w:cs="Times New Roman" w:hint="eastAsia"/>
          <w:color w:val="000000"/>
          <w:sz w:val="24"/>
          <w:szCs w:val="24"/>
        </w:rPr>
        <w:t>5%</w:t>
      </w:r>
      <w:r>
        <w:rPr>
          <w:rFonts w:ascii="Times New Roman" w:eastAsia="宋体" w:hAnsi="Times New Roman" w:cs="Times New Roman" w:hint="eastAsia"/>
          <w:color w:val="000000"/>
          <w:sz w:val="24"/>
          <w:szCs w:val="24"/>
        </w:rPr>
        <w:t>的债权或其他资产处置，年度累计金额超过上一年度经审计合并财务报告净资产账面值</w:t>
      </w:r>
      <w:r>
        <w:rPr>
          <w:rFonts w:ascii="Times New Roman" w:eastAsia="宋体" w:hAnsi="Times New Roman" w:cs="Times New Roman" w:hint="eastAsia"/>
          <w:color w:val="000000"/>
          <w:sz w:val="24"/>
          <w:szCs w:val="24"/>
        </w:rPr>
        <w:t>1</w:t>
      </w:r>
      <w:r>
        <w:rPr>
          <w:rFonts w:ascii="Times New Roman" w:eastAsia="宋体" w:hAnsi="Times New Roman" w:cs="Times New Roman"/>
          <w:color w:val="000000"/>
          <w:sz w:val="24"/>
          <w:szCs w:val="24"/>
        </w:rPr>
        <w:t>0</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的债权或其他资产处置；（</w:t>
      </w:r>
      <w:r>
        <w:rPr>
          <w:rFonts w:ascii="Times New Roman" w:eastAsia="宋体" w:hAnsi="Times New Roman" w:cs="Times New Roman" w:hint="eastAsia"/>
          <w:color w:val="000000"/>
          <w:sz w:val="24"/>
          <w:szCs w:val="24"/>
        </w:rPr>
        <w:t>4</w:t>
      </w:r>
      <w:r>
        <w:rPr>
          <w:rFonts w:ascii="Times New Roman" w:eastAsia="宋体" w:hAnsi="Times New Roman" w:cs="Times New Roman" w:hint="eastAsia"/>
          <w:color w:val="000000"/>
          <w:sz w:val="24"/>
          <w:szCs w:val="24"/>
        </w:rPr>
        <w:t>）审议批准公司金融机构借款单笔金额超过</w:t>
      </w:r>
      <w:r>
        <w:rPr>
          <w:rFonts w:ascii="Times New Roman" w:eastAsia="宋体" w:hAnsi="Times New Roman" w:cs="Times New Roman" w:hint="eastAsia"/>
          <w:color w:val="000000"/>
          <w:sz w:val="24"/>
          <w:szCs w:val="24"/>
        </w:rPr>
        <w:t>2</w:t>
      </w:r>
      <w:r>
        <w:rPr>
          <w:rFonts w:ascii="Times New Roman" w:eastAsia="宋体" w:hAnsi="Times New Roman" w:cs="Times New Roman"/>
          <w:color w:val="000000"/>
          <w:sz w:val="24"/>
          <w:szCs w:val="24"/>
        </w:rPr>
        <w:t>000</w:t>
      </w:r>
      <w:r>
        <w:rPr>
          <w:rFonts w:ascii="Times New Roman" w:eastAsia="宋体" w:hAnsi="Times New Roman" w:cs="Times New Roman" w:hint="eastAsia"/>
          <w:color w:val="000000"/>
          <w:sz w:val="24"/>
          <w:szCs w:val="24"/>
        </w:rPr>
        <w:t>万元，以及年度累计融资超过</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亿元之后的融资行为；（</w:t>
      </w:r>
      <w:r>
        <w:rPr>
          <w:rFonts w:ascii="Times New Roman" w:eastAsia="宋体" w:hAnsi="Times New Roman" w:cs="Times New Roman" w:hint="eastAsia"/>
          <w:color w:val="000000"/>
          <w:sz w:val="24"/>
          <w:szCs w:val="24"/>
        </w:rPr>
        <w:t>5</w:t>
      </w:r>
      <w:r>
        <w:rPr>
          <w:rFonts w:ascii="Times New Roman" w:eastAsia="宋体" w:hAnsi="Times New Roman" w:cs="Times New Roman" w:hint="eastAsia"/>
          <w:color w:val="000000"/>
          <w:sz w:val="24"/>
          <w:szCs w:val="24"/>
        </w:rPr>
        <w:t>）批准年度关联交易计划；（</w:t>
      </w:r>
      <w:r>
        <w:rPr>
          <w:rFonts w:ascii="Times New Roman" w:eastAsia="宋体" w:hAnsi="Times New Roman" w:cs="Times New Roman" w:hint="eastAsia"/>
          <w:color w:val="000000"/>
          <w:sz w:val="24"/>
          <w:szCs w:val="24"/>
        </w:rPr>
        <w:t>6</w:t>
      </w:r>
      <w:r>
        <w:rPr>
          <w:rFonts w:ascii="Times New Roman" w:eastAsia="宋体" w:hAnsi="Times New Roman" w:cs="Times New Roman" w:hint="eastAsia"/>
          <w:color w:val="000000"/>
          <w:sz w:val="24"/>
          <w:szCs w:val="24"/>
        </w:rPr>
        <w:t>）审议批准单笔金额超过</w:t>
      </w:r>
      <w:r>
        <w:rPr>
          <w:rFonts w:ascii="Times New Roman" w:eastAsia="宋体" w:hAnsi="Times New Roman" w:cs="Times New Roman"/>
          <w:color w:val="000000"/>
          <w:sz w:val="24"/>
          <w:szCs w:val="24"/>
        </w:rPr>
        <w:t>500</w:t>
      </w:r>
      <w:r>
        <w:rPr>
          <w:rFonts w:ascii="Times New Roman" w:eastAsia="宋体" w:hAnsi="Times New Roman" w:cs="Times New Roman" w:hint="eastAsia"/>
          <w:color w:val="000000"/>
          <w:sz w:val="24"/>
          <w:szCs w:val="24"/>
        </w:rPr>
        <w:t>万元的关联交易，或年度累计金额超过</w:t>
      </w:r>
      <w:r>
        <w:rPr>
          <w:rFonts w:ascii="Times New Roman" w:eastAsia="宋体" w:hAnsi="Times New Roman" w:cs="Times New Roman"/>
          <w:color w:val="000000"/>
          <w:sz w:val="24"/>
          <w:szCs w:val="24"/>
        </w:rPr>
        <w:t>1000</w:t>
      </w:r>
      <w:r>
        <w:rPr>
          <w:rFonts w:ascii="Times New Roman" w:eastAsia="宋体" w:hAnsi="Times New Roman" w:cs="Times New Roman" w:hint="eastAsia"/>
          <w:color w:val="000000"/>
          <w:sz w:val="24"/>
          <w:szCs w:val="24"/>
        </w:rPr>
        <w:t>万元的关联交易，上述金额不包括年度关联交易计划中审批通过关联交易的金额；（</w:t>
      </w:r>
      <w:r>
        <w:rPr>
          <w:rFonts w:ascii="Times New Roman" w:eastAsia="宋体" w:hAnsi="Times New Roman" w:cs="Times New Roman" w:hint="eastAsia"/>
          <w:color w:val="000000"/>
          <w:sz w:val="24"/>
          <w:szCs w:val="24"/>
        </w:rPr>
        <w:t>7</w:t>
      </w:r>
      <w:r>
        <w:rPr>
          <w:rFonts w:ascii="Times New Roman" w:eastAsia="宋体" w:hAnsi="Times New Roman" w:cs="Times New Roman" w:hint="eastAsia"/>
          <w:color w:val="000000"/>
          <w:sz w:val="24"/>
          <w:szCs w:val="24"/>
        </w:rPr>
        <w:t>）审议批准高级管理层年度经营目标及考核相关事项。</w:t>
      </w:r>
    </w:p>
    <w:p w14:paraId="39065EA6"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上述一票否决权主要涉及公司的经营方针、经营目标、利润分配、对外投融资、重要资产处置、对外担保及关联交易等事项，主要系国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基金为保障投资收益而设定，其中公司经营方针和经营目标事项主要</w:t>
      </w:r>
      <w:proofErr w:type="gramStart"/>
      <w:r>
        <w:rPr>
          <w:rFonts w:ascii="Times New Roman" w:eastAsia="宋体" w:hAnsi="Times New Roman" w:cs="Times New Roman" w:hint="eastAsia"/>
          <w:color w:val="000000"/>
          <w:sz w:val="24"/>
          <w:szCs w:val="24"/>
        </w:rPr>
        <w:t>系防止</w:t>
      </w:r>
      <w:proofErr w:type="gramEnd"/>
      <w:r>
        <w:rPr>
          <w:rFonts w:ascii="Times New Roman" w:eastAsia="宋体" w:hAnsi="Times New Roman" w:cs="Times New Roman" w:hint="eastAsia"/>
          <w:color w:val="000000"/>
          <w:sz w:val="24"/>
          <w:szCs w:val="24"/>
        </w:rPr>
        <w:t>公司业务发展方向与投资人投资时大幅偏离，防止公司滥用资金，且经营方针和经营目标主要系针对方向性的框架约定，与日常经营的关联度相对较低。因此上述一票否决权的设定不影响上市公司对标的公司的控制权认定，亦不影响上市公司合并报表范围。</w:t>
      </w:r>
    </w:p>
    <w:p w14:paraId="4469E83C"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（三）本次交易完成后标的公司的股权控制关系，是否属于共同控制，以及将标的资产继续纳入合并报表范围的依据及合理性</w:t>
      </w:r>
    </w:p>
    <w:p w14:paraId="2DFF2F26" w14:textId="77777777" w:rsidR="00BD3166" w:rsidRDefault="00C64679">
      <w:pPr>
        <w:autoSpaceDE w:val="0"/>
        <w:autoSpaceDN w:val="0"/>
        <w:spacing w:beforeLines="50" w:before="156" w:line="360" w:lineRule="auto"/>
        <w:ind w:firstLineChars="200" w:firstLine="48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lastRenderedPageBreak/>
        <w:t>1</w:t>
      </w:r>
      <w:r>
        <w:rPr>
          <w:rFonts w:ascii="Times New Roman" w:eastAsia="宋体" w:hAnsi="Times New Roman" w:cs="Times New Roman" w:hint="eastAsia"/>
          <w:b/>
          <w:bCs/>
          <w:color w:val="000000"/>
          <w:sz w:val="24"/>
          <w:szCs w:val="24"/>
        </w:rPr>
        <w:t>、本次交易完成后标的公司的股权控制关系</w:t>
      </w:r>
    </w:p>
    <w:p w14:paraId="31C0871E"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本次增资完成后，大唐半导体持有标的公司</w:t>
      </w:r>
      <w:r>
        <w:rPr>
          <w:rFonts w:ascii="Times New Roman" w:eastAsia="宋体" w:hAnsi="Times New Roman" w:cs="Times New Roman"/>
          <w:color w:val="000000"/>
          <w:sz w:val="24"/>
          <w:szCs w:val="24"/>
        </w:rPr>
        <w:t>71.786%</w:t>
      </w:r>
      <w:r>
        <w:rPr>
          <w:rFonts w:ascii="Times New Roman" w:eastAsia="宋体" w:hAnsi="Times New Roman" w:cs="Times New Roman" w:hint="eastAsia"/>
          <w:color w:val="000000"/>
          <w:sz w:val="24"/>
          <w:szCs w:val="24"/>
        </w:rPr>
        <w:t>股权，持股比例超过</w:t>
      </w:r>
      <w:r>
        <w:rPr>
          <w:rFonts w:ascii="Times New Roman" w:eastAsia="宋体" w:hAnsi="Times New Roman" w:cs="Times New Roman" w:hint="eastAsia"/>
          <w:color w:val="000000"/>
          <w:sz w:val="24"/>
          <w:szCs w:val="24"/>
        </w:rPr>
        <w:t>5</w:t>
      </w:r>
      <w:r>
        <w:rPr>
          <w:rFonts w:ascii="Times New Roman" w:eastAsia="宋体" w:hAnsi="Times New Roman" w:cs="Times New Roman"/>
          <w:color w:val="000000"/>
          <w:sz w:val="24"/>
          <w:szCs w:val="24"/>
        </w:rPr>
        <w:t>0</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且大唐半导体提名董事人数超过标的公司董事会成员总数的二分之一。根据《公司法》第二百一十六条的规定，控股股东是指其出资额占有限责任公司资本总额百分之五十以上或者其持有的股份占股份有限公司股本总额百分之五十以上的股东。本次交易完成后，大唐半导体仍然单独控制标的公司。</w:t>
      </w:r>
    </w:p>
    <w:p w14:paraId="420C5A39" w14:textId="77777777" w:rsidR="00BD3166" w:rsidRDefault="00C64679">
      <w:pPr>
        <w:autoSpaceDE w:val="0"/>
        <w:autoSpaceDN w:val="0"/>
        <w:spacing w:beforeLines="50" w:before="156" w:line="360" w:lineRule="auto"/>
        <w:ind w:firstLineChars="200" w:firstLine="482"/>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t>2</w:t>
      </w:r>
      <w:r>
        <w:rPr>
          <w:rFonts w:ascii="Times New Roman" w:eastAsia="宋体" w:hAnsi="Times New Roman" w:cs="Times New Roman" w:hint="eastAsia"/>
          <w:b/>
          <w:bCs/>
          <w:color w:val="000000"/>
          <w:sz w:val="24"/>
          <w:szCs w:val="24"/>
        </w:rPr>
        <w:t>、本次交易完成后不存在共同控制的情形</w:t>
      </w:r>
    </w:p>
    <w:p w14:paraId="6EEE0BC1"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参照</w:t>
      </w:r>
      <w:r>
        <w:rPr>
          <w:rFonts w:ascii="Times New Roman" w:eastAsia="宋体" w:hAnsi="Times New Roman" w:cs="Times New Roman"/>
          <w:color w:val="000000"/>
          <w:sz w:val="24"/>
          <w:szCs w:val="24"/>
        </w:rPr>
        <w:t>中国证监会《证券期货法律适用意见第</w:t>
      </w:r>
      <w:r>
        <w:rPr>
          <w:rFonts w:ascii="Times New Roman" w:eastAsia="宋体" w:hAnsi="Times New Roman" w:cs="Times New Roman"/>
          <w:color w:val="000000"/>
          <w:sz w:val="24"/>
          <w:szCs w:val="24"/>
        </w:rPr>
        <w:t>1</w:t>
      </w:r>
      <w:r>
        <w:rPr>
          <w:rFonts w:ascii="Times New Roman" w:eastAsia="宋体" w:hAnsi="Times New Roman" w:cs="Times New Roman"/>
          <w:color w:val="000000"/>
          <w:sz w:val="24"/>
          <w:szCs w:val="24"/>
        </w:rPr>
        <w:t>号</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关于印发</w:t>
      </w:r>
      <w:r>
        <w:rPr>
          <w:rFonts w:ascii="Times New Roman" w:eastAsia="宋体" w:hAnsi="Times New Roman" w:cs="Times New Roman" w:hint="eastAsia"/>
          <w:color w:val="000000"/>
          <w:sz w:val="24"/>
          <w:szCs w:val="24"/>
        </w:rPr>
        <w:t>&lt;</w:t>
      </w:r>
      <w:r>
        <w:rPr>
          <w:rFonts w:ascii="Times New Roman" w:eastAsia="宋体" w:hAnsi="Times New Roman" w:cs="Times New Roman"/>
          <w:color w:val="000000"/>
          <w:sz w:val="24"/>
          <w:szCs w:val="24"/>
        </w:rPr>
        <w:t>首次公开发行股票并上市管理办法</w:t>
      </w:r>
      <w:r>
        <w:rPr>
          <w:rFonts w:ascii="Times New Roman" w:eastAsia="宋体" w:hAnsi="Times New Roman" w:cs="Times New Roman" w:hint="eastAsia"/>
          <w:color w:val="000000"/>
          <w:sz w:val="24"/>
          <w:szCs w:val="24"/>
        </w:rPr>
        <w:t>&gt;</w:t>
      </w:r>
      <w:r>
        <w:rPr>
          <w:rFonts w:ascii="Times New Roman" w:eastAsia="宋体" w:hAnsi="Times New Roman" w:cs="Times New Roman"/>
          <w:color w:val="000000"/>
          <w:sz w:val="24"/>
          <w:szCs w:val="24"/>
        </w:rPr>
        <w:t>第十二条</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实际控制人没有发生变更</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的理解和适用</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的通知</w:t>
      </w:r>
      <w:proofErr w:type="gramStart"/>
      <w:r>
        <w:rPr>
          <w:rFonts w:ascii="Times New Roman" w:eastAsia="宋体" w:hAnsi="Times New Roman" w:cs="Times New Roman"/>
          <w:color w:val="000000"/>
          <w:sz w:val="24"/>
          <w:szCs w:val="24"/>
        </w:rPr>
        <w:t>》</w:t>
      </w:r>
      <w:proofErr w:type="gramEnd"/>
      <w:r>
        <w:rPr>
          <w:rFonts w:ascii="Times New Roman" w:eastAsia="宋体" w:hAnsi="Times New Roman" w:cs="Times New Roman"/>
          <w:color w:val="000000"/>
          <w:sz w:val="24"/>
          <w:szCs w:val="24"/>
        </w:rPr>
        <w:t>（证</w:t>
      </w:r>
      <w:proofErr w:type="gramStart"/>
      <w:r>
        <w:rPr>
          <w:rFonts w:ascii="Times New Roman" w:eastAsia="宋体" w:hAnsi="Times New Roman" w:cs="Times New Roman"/>
          <w:color w:val="000000"/>
          <w:sz w:val="24"/>
          <w:szCs w:val="24"/>
        </w:rPr>
        <w:t>监法律字</w:t>
      </w:r>
      <w:proofErr w:type="gramEnd"/>
      <w:r>
        <w:rPr>
          <w:rFonts w:ascii="Times New Roman" w:eastAsia="宋体" w:hAnsi="Times New Roman" w:cs="Times New Roman"/>
          <w:color w:val="000000"/>
          <w:sz w:val="24"/>
          <w:szCs w:val="24"/>
        </w:rPr>
        <w:t>[2007]15</w:t>
      </w:r>
      <w:r>
        <w:rPr>
          <w:rFonts w:ascii="Times New Roman" w:eastAsia="宋体" w:hAnsi="Times New Roman" w:cs="Times New Roman"/>
          <w:color w:val="000000"/>
          <w:sz w:val="24"/>
          <w:szCs w:val="24"/>
        </w:rPr>
        <w:t>号，以下简称《适用意见</w:t>
      </w:r>
      <w:r>
        <w:rPr>
          <w:rFonts w:ascii="Times New Roman" w:eastAsia="宋体" w:hAnsi="Times New Roman" w:cs="Times New Roman"/>
          <w:color w:val="000000"/>
          <w:sz w:val="24"/>
          <w:szCs w:val="24"/>
        </w:rPr>
        <w:t>1</w:t>
      </w:r>
      <w:r>
        <w:rPr>
          <w:rFonts w:ascii="Times New Roman" w:eastAsia="宋体" w:hAnsi="Times New Roman" w:cs="Times New Roman"/>
          <w:color w:val="000000"/>
          <w:sz w:val="24"/>
          <w:szCs w:val="24"/>
        </w:rPr>
        <w:t>号》），</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主张多人共同拥有公司控制权的，应当符合以下条件：</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（三）多人共同拥有公司控制权的情况，一般应当通过公司章程、协议或者其他安排予以明确，有关章程、协议及安排必须合法有效、权利义务清晰、责任明确，该情况在最近</w:t>
      </w:r>
      <w:r>
        <w:rPr>
          <w:rFonts w:ascii="Times New Roman" w:eastAsia="宋体" w:hAnsi="Times New Roman" w:cs="Times New Roman"/>
          <w:color w:val="000000"/>
          <w:sz w:val="24"/>
          <w:szCs w:val="24"/>
        </w:rPr>
        <w:t>3</w:t>
      </w:r>
      <w:r>
        <w:rPr>
          <w:rFonts w:ascii="Times New Roman" w:eastAsia="宋体" w:hAnsi="Times New Roman" w:cs="Times New Roman"/>
          <w:color w:val="000000"/>
          <w:sz w:val="24"/>
          <w:szCs w:val="24"/>
        </w:rPr>
        <w:t>年内且在首发后的可预期期限内是稳定、有效存在的。共同拥有公司控制权的多人没有出现重大变更</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w:t>
      </w:r>
    </w:p>
    <w:p w14:paraId="3D45DD28"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依据《企业会计准则第</w:t>
      </w:r>
      <w:r>
        <w:rPr>
          <w:rFonts w:ascii="Times New Roman" w:eastAsia="宋体" w:hAnsi="Times New Roman" w:cs="Times New Roman" w:hint="eastAsia"/>
          <w:color w:val="000000"/>
          <w:sz w:val="24"/>
          <w:szCs w:val="24"/>
        </w:rPr>
        <w:t>40</w:t>
      </w:r>
      <w:r>
        <w:rPr>
          <w:rFonts w:ascii="Times New Roman" w:eastAsia="宋体" w:hAnsi="Times New Roman" w:cs="Times New Roman" w:hint="eastAsia"/>
          <w:color w:val="000000"/>
          <w:sz w:val="24"/>
          <w:szCs w:val="24"/>
        </w:rPr>
        <w:t>号——合营安排》规定：</w:t>
      </w:r>
    </w:p>
    <w:p w14:paraId="3C420CB1"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“第五条</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共同控制，是指按照相关约定对某项安排所共有的控制，并且该安排的相关活动必须经过分享控制权的参与方一致同意后才能决策。</w:t>
      </w:r>
    </w:p>
    <w:p w14:paraId="4CEDAEE1"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第八条</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仅享有保护性权利的参与方不享有共同控制。”</w:t>
      </w:r>
    </w:p>
    <w:p w14:paraId="555AB9A4" w14:textId="38FA42D9"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本次增资后，国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基金对标的公司的重大事项虽拥有一票否决权，但如前文所述，上述一票否决权主要涉及公司的经营方针、经营目标、利润分配、对外投融资、重要资产处置、对外担保及关联交易等事项，主要系国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基金为保障投资收益而设定，其中公司经营方针和经营目标事项主要</w:t>
      </w:r>
      <w:proofErr w:type="gramStart"/>
      <w:r>
        <w:rPr>
          <w:rFonts w:ascii="Times New Roman" w:eastAsia="宋体" w:hAnsi="Times New Roman" w:cs="Times New Roman" w:hint="eastAsia"/>
          <w:color w:val="000000"/>
          <w:sz w:val="24"/>
          <w:szCs w:val="24"/>
        </w:rPr>
        <w:t>系防止</w:t>
      </w:r>
      <w:proofErr w:type="gramEnd"/>
      <w:r>
        <w:rPr>
          <w:rFonts w:ascii="Times New Roman" w:eastAsia="宋体" w:hAnsi="Times New Roman" w:cs="Times New Roman" w:hint="eastAsia"/>
          <w:color w:val="000000"/>
          <w:sz w:val="24"/>
          <w:szCs w:val="24"/>
        </w:rPr>
        <w:t>公司业务发展方向与投资人投资时大幅偏离，防止公司滥用资金，且经营方针和经营目标主要系针对方向性的框架约定，与日常经营的关联度相对较低。上述一票否决权仅为保护利益，既没有</w:t>
      </w:r>
      <w:proofErr w:type="gramStart"/>
      <w:r>
        <w:rPr>
          <w:rFonts w:ascii="Times New Roman" w:eastAsia="宋体" w:hAnsi="Times New Roman" w:cs="Times New Roman" w:hint="eastAsia"/>
          <w:color w:val="000000"/>
          <w:sz w:val="24"/>
          <w:szCs w:val="24"/>
        </w:rPr>
        <w:t>赋予国新建信</w:t>
      </w:r>
      <w:proofErr w:type="gramEnd"/>
      <w:r>
        <w:rPr>
          <w:rFonts w:ascii="Times New Roman" w:eastAsia="宋体" w:hAnsi="Times New Roman" w:cs="Times New Roman" w:hint="eastAsia"/>
          <w:color w:val="000000"/>
          <w:sz w:val="24"/>
          <w:szCs w:val="24"/>
        </w:rPr>
        <w:t>基金对标的公司拥有权力，也不能阻止其他方对标的公司拥有权力，属于《企业会计准则第</w:t>
      </w:r>
      <w:r>
        <w:rPr>
          <w:rFonts w:ascii="Times New Roman" w:eastAsia="宋体" w:hAnsi="Times New Roman" w:cs="Times New Roman" w:hint="eastAsia"/>
          <w:color w:val="000000"/>
          <w:sz w:val="24"/>
          <w:szCs w:val="24"/>
        </w:rPr>
        <w:t>33</w:t>
      </w:r>
      <w:r>
        <w:rPr>
          <w:rFonts w:ascii="Times New Roman" w:eastAsia="宋体" w:hAnsi="Times New Roman" w:cs="Times New Roman" w:hint="eastAsia"/>
          <w:color w:val="000000"/>
          <w:sz w:val="24"/>
          <w:szCs w:val="24"/>
        </w:rPr>
        <w:t>号</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合并财务报表》规定的保护性权力。因此国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基金作为享有保护性权利的参与方不参与共同控制。</w:t>
      </w:r>
    </w:p>
    <w:p w14:paraId="1490A27F"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根据标的公司的公司章程、增资协议等文件，大唐半导体及国</w:t>
      </w:r>
      <w:proofErr w:type="gramStart"/>
      <w:r>
        <w:rPr>
          <w:rFonts w:ascii="Times New Roman" w:eastAsia="宋体" w:hAnsi="Times New Roman" w:cs="Times New Roman" w:hint="eastAsia"/>
          <w:color w:val="000000"/>
          <w:sz w:val="24"/>
          <w:szCs w:val="24"/>
        </w:rPr>
        <w:t>新建信基金无一致</w:t>
      </w:r>
      <w:proofErr w:type="gramEnd"/>
      <w:r>
        <w:rPr>
          <w:rFonts w:ascii="Times New Roman" w:eastAsia="宋体" w:hAnsi="Times New Roman" w:cs="Times New Roman" w:hint="eastAsia"/>
          <w:color w:val="000000"/>
          <w:sz w:val="24"/>
          <w:szCs w:val="24"/>
        </w:rPr>
        <w:t>行动共同控制大唐微电子的协议或安排，不存在共同控制的情形。</w:t>
      </w:r>
    </w:p>
    <w:p w14:paraId="0BB6946B" w14:textId="77777777" w:rsidR="00BD3166" w:rsidRDefault="00C64679">
      <w:pPr>
        <w:autoSpaceDE w:val="0"/>
        <w:autoSpaceDN w:val="0"/>
        <w:spacing w:beforeLines="50" w:before="156" w:line="360" w:lineRule="auto"/>
        <w:ind w:firstLineChars="200" w:firstLine="48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3</w:t>
      </w:r>
      <w:r>
        <w:rPr>
          <w:rFonts w:ascii="Times New Roman" w:eastAsia="宋体" w:hAnsi="Times New Roman" w:cs="Times New Roman" w:hint="eastAsia"/>
          <w:b/>
          <w:bCs/>
          <w:color w:val="000000"/>
          <w:sz w:val="24"/>
          <w:szCs w:val="24"/>
        </w:rPr>
        <w:t>、将标的资产继续纳入合并报表范围的依据及合理性</w:t>
      </w:r>
    </w:p>
    <w:p w14:paraId="76687BC6"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依据《企业会计准则第</w:t>
      </w:r>
      <w:r>
        <w:rPr>
          <w:rFonts w:ascii="Times New Roman" w:eastAsia="宋体" w:hAnsi="Times New Roman" w:cs="Times New Roman" w:hint="eastAsia"/>
          <w:color w:val="000000"/>
          <w:sz w:val="24"/>
          <w:szCs w:val="24"/>
        </w:rPr>
        <w:t>33</w:t>
      </w:r>
      <w:r>
        <w:rPr>
          <w:rFonts w:ascii="Times New Roman" w:eastAsia="宋体" w:hAnsi="Times New Roman" w:cs="Times New Roman" w:hint="eastAsia"/>
          <w:color w:val="000000"/>
          <w:sz w:val="24"/>
          <w:szCs w:val="24"/>
        </w:rPr>
        <w:t>号</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合并财务报表》规定：</w:t>
      </w:r>
    </w:p>
    <w:p w14:paraId="21614FE5"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“第七条</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合并财务报表的合并范围应当以控制为基础予以确定。</w:t>
      </w:r>
    </w:p>
    <w:p w14:paraId="2D42CC80"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第十一条</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投资方在判断是否拥有对被投资方的权力时，应当仅考虑与被投资方相关的实质性权利，包括自身所享有的实质性权利以及其他方所享有的实质性权利。</w:t>
      </w:r>
    </w:p>
    <w:p w14:paraId="76AC08D6"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第十二条</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仅享有保护性权利的投资方不拥有对被投资方的权力。</w:t>
      </w:r>
    </w:p>
    <w:p w14:paraId="40DBFEBD"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保护性权利，是指仅为了保护权利持有人利益却没有赋予持有人对相关活动决策权的一项权利。保护性权利通常只能在被投资方发生根本性改变或某些例外情况发生时才能够行使，它既没有赋予其持有人对被投资方拥有权力，也不能阻止其他方对被投资方拥有权力。</w:t>
      </w:r>
    </w:p>
    <w:p w14:paraId="52C88262"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第二十一条</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母公司应当将其全部子公司（包括母公司所控制的单独主体）纳入合并财务报表的合并范围。”</w:t>
      </w:r>
    </w:p>
    <w:p w14:paraId="713ECEC1"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本次增资后，大唐半导体仍然单独控制标的公司，不存在共同控制的情形。标的公司为大唐半导体子公司，根据企业会计准则关于合并范围应当以控制为基础予以确定以及母公司应当将子公司纳入合并范围的要求，需将标的公司纳入合并报表范围。</w:t>
      </w:r>
    </w:p>
    <w:p w14:paraId="118EA433"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）本次增资后，国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对标的公司重大事项拥有一票否决权（具体范围如“（二）本次增资前后标的公司董事会派驻人员、股东会与董事会重大事项一票否决权等情况”部分所述）。上述一票否决权主要涉及利润分配、对外投融资及关联交易等事项，系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基金为保障投资收益而设定，仅为保护利益，既没有</w:t>
      </w:r>
      <w:proofErr w:type="gramStart"/>
      <w:r>
        <w:rPr>
          <w:rFonts w:ascii="Times New Roman" w:eastAsia="宋体" w:hAnsi="Times New Roman" w:cs="Times New Roman" w:hint="eastAsia"/>
          <w:color w:val="000000"/>
          <w:sz w:val="24"/>
          <w:szCs w:val="24"/>
        </w:rPr>
        <w:t>赋予国新建信</w:t>
      </w:r>
      <w:proofErr w:type="gramEnd"/>
      <w:r>
        <w:rPr>
          <w:rFonts w:ascii="Times New Roman" w:eastAsia="宋体" w:hAnsi="Times New Roman" w:cs="Times New Roman" w:hint="eastAsia"/>
          <w:color w:val="000000"/>
          <w:sz w:val="24"/>
          <w:szCs w:val="24"/>
        </w:rPr>
        <w:t>基金对标的公司拥有权力，也不能阻止其他方对标的公司拥有权力，因此属于《企业会计准则第</w:t>
      </w:r>
      <w:r>
        <w:rPr>
          <w:rFonts w:ascii="Times New Roman" w:eastAsia="宋体" w:hAnsi="Times New Roman" w:cs="Times New Roman" w:hint="eastAsia"/>
          <w:color w:val="000000"/>
          <w:sz w:val="24"/>
          <w:szCs w:val="24"/>
        </w:rPr>
        <w:t>33</w:t>
      </w:r>
      <w:r>
        <w:rPr>
          <w:rFonts w:ascii="Times New Roman" w:eastAsia="宋体" w:hAnsi="Times New Roman" w:cs="Times New Roman" w:hint="eastAsia"/>
          <w:color w:val="000000"/>
          <w:sz w:val="24"/>
          <w:szCs w:val="24"/>
        </w:rPr>
        <w:t>号</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合并财务报表》规定的保护性权力。</w:t>
      </w:r>
    </w:p>
    <w:p w14:paraId="283DE32A"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综上，本次交易后，大唐半导体仍拥有对标的公司的单独控制权，将标的公司继续纳入合并报表范围具有合理性。</w:t>
      </w:r>
    </w:p>
    <w:bookmarkEnd w:id="5"/>
    <w:p w14:paraId="6940834B"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三、独立财务顾问核查意见</w:t>
      </w:r>
    </w:p>
    <w:p w14:paraId="6AF9C78F"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经核查，独立财务顾问认为：本次交易后，依据标的公司的股权比例、董事会结构及《企业会计准则》的规定，大唐半导体仍拥有对标的公司的单独控制权，将标的公司继续纳入合并报表范围具有合理性。</w:t>
      </w:r>
    </w:p>
    <w:p w14:paraId="0B69A7B2"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四、会计师核查意见</w:t>
      </w:r>
    </w:p>
    <w:p w14:paraId="6F531D1F"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经核查，立信会计师事务所认为：本次交易后，依据标的公司的股权比例、董事会结构及《企业会计准则》的规定，大唐半导体仍拥有对标的公司的单独控制权，将标的公司继续纳入合并报表范围具有合理性。</w:t>
      </w:r>
    </w:p>
    <w:p w14:paraId="629116B6"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五、补充披露情况</w:t>
      </w:r>
    </w:p>
    <w:p w14:paraId="7321260C"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公司已在草案“第六节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本次交易主要合同”之“三、增资款的使用”以及“第一节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本次交易概况”之“四、本次交易对于上市公司的影响”之“（四）本次交易对标的资产股权控制关系的影响”中补充披露相关内容。</w:t>
      </w:r>
    </w:p>
    <w:bookmarkEnd w:id="2"/>
    <w:p w14:paraId="59BD83B5" w14:textId="77777777" w:rsidR="00BD3166" w:rsidRDefault="00C64679">
      <w:pPr>
        <w:spacing w:beforeLines="50" w:before="156" w:afterLines="50" w:after="156" w:line="360" w:lineRule="auto"/>
        <w:ind w:firstLineChars="200" w:firstLine="482"/>
        <w:outlineLvl w:val="0"/>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问题</w:t>
      </w: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草案披露，本次增资设有利润分配安排，国</w:t>
      </w:r>
      <w:proofErr w:type="gramStart"/>
      <w:r>
        <w:rPr>
          <w:rFonts w:ascii="Times New Roman" w:eastAsia="宋体" w:hAnsi="Times New Roman" w:cs="Times New Roman"/>
          <w:b/>
          <w:color w:val="000000"/>
          <w:sz w:val="24"/>
          <w:szCs w:val="24"/>
        </w:rPr>
        <w:t>新建信</w:t>
      </w:r>
      <w:proofErr w:type="gramEnd"/>
      <w:r>
        <w:rPr>
          <w:rFonts w:ascii="Times New Roman" w:eastAsia="宋体" w:hAnsi="Times New Roman" w:cs="Times New Roman"/>
          <w:b/>
          <w:color w:val="000000"/>
          <w:sz w:val="24"/>
          <w:szCs w:val="24"/>
        </w:rPr>
        <w:t>基金持股期间，标的公司有可分配利润的，其所获得的分红应不低于年度分红目标，即增资款金额乘以约</w:t>
      </w:r>
      <w:r>
        <w:rPr>
          <w:rFonts w:ascii="Times New Roman" w:eastAsia="宋体" w:hAnsi="Times New Roman" w:cs="Times New Roman"/>
          <w:b/>
          <w:color w:val="000000"/>
          <w:sz w:val="24"/>
          <w:szCs w:val="24"/>
        </w:rPr>
        <w:t>3%/</w:t>
      </w:r>
      <w:r>
        <w:rPr>
          <w:rFonts w:ascii="Times New Roman" w:eastAsia="宋体" w:hAnsi="Times New Roman" w:cs="Times New Roman"/>
          <w:b/>
          <w:color w:val="000000"/>
          <w:sz w:val="24"/>
          <w:szCs w:val="24"/>
        </w:rPr>
        <w:t>年的基准股息率。本次增资还设置两类退出安排，其一，国</w:t>
      </w:r>
      <w:proofErr w:type="gramStart"/>
      <w:r>
        <w:rPr>
          <w:rFonts w:ascii="Times New Roman" w:eastAsia="宋体" w:hAnsi="Times New Roman" w:cs="Times New Roman"/>
          <w:b/>
          <w:color w:val="000000"/>
          <w:sz w:val="24"/>
          <w:szCs w:val="24"/>
        </w:rPr>
        <w:t>新建信</w:t>
      </w:r>
      <w:proofErr w:type="gramEnd"/>
      <w:r>
        <w:rPr>
          <w:rFonts w:ascii="Times New Roman" w:eastAsia="宋体" w:hAnsi="Times New Roman" w:cs="Times New Roman"/>
          <w:b/>
          <w:color w:val="000000"/>
          <w:sz w:val="24"/>
          <w:szCs w:val="24"/>
        </w:rPr>
        <w:t>基金可在投资期限届满前，由公司向其发行股份购买其持有的标的公司全部股权；其二，国</w:t>
      </w:r>
      <w:proofErr w:type="gramStart"/>
      <w:r>
        <w:rPr>
          <w:rFonts w:ascii="Times New Roman" w:eastAsia="宋体" w:hAnsi="Times New Roman" w:cs="Times New Roman"/>
          <w:b/>
          <w:color w:val="000000"/>
          <w:sz w:val="24"/>
          <w:szCs w:val="24"/>
        </w:rPr>
        <w:t>新建信</w:t>
      </w:r>
      <w:proofErr w:type="gramEnd"/>
      <w:r>
        <w:rPr>
          <w:rFonts w:ascii="Times New Roman" w:eastAsia="宋体" w:hAnsi="Times New Roman" w:cs="Times New Roman"/>
          <w:b/>
          <w:color w:val="000000"/>
          <w:sz w:val="24"/>
          <w:szCs w:val="24"/>
        </w:rPr>
        <w:t>基金可在标的公司触发连续两年年均净利润低于</w:t>
      </w:r>
      <w:r>
        <w:rPr>
          <w:rFonts w:ascii="Times New Roman" w:eastAsia="宋体" w:hAnsi="Times New Roman" w:cs="Times New Roman"/>
          <w:b/>
          <w:color w:val="000000"/>
          <w:sz w:val="24"/>
          <w:szCs w:val="24"/>
        </w:rPr>
        <w:t>5000</w:t>
      </w:r>
      <w:r>
        <w:rPr>
          <w:rFonts w:ascii="Times New Roman" w:eastAsia="宋体" w:hAnsi="Times New Roman" w:cs="Times New Roman"/>
          <w:b/>
          <w:color w:val="000000"/>
          <w:sz w:val="24"/>
          <w:szCs w:val="24"/>
        </w:rPr>
        <w:t>万元、任一年净利润为负、资产负债率超过</w:t>
      </w:r>
      <w:r>
        <w:rPr>
          <w:rFonts w:ascii="Times New Roman" w:eastAsia="宋体" w:hAnsi="Times New Roman" w:cs="Times New Roman"/>
          <w:b/>
          <w:color w:val="000000"/>
          <w:sz w:val="24"/>
          <w:szCs w:val="24"/>
        </w:rPr>
        <w:t>60%</w:t>
      </w:r>
      <w:r>
        <w:rPr>
          <w:rFonts w:ascii="Times New Roman" w:eastAsia="宋体" w:hAnsi="Times New Roman" w:cs="Times New Roman"/>
          <w:b/>
          <w:color w:val="000000"/>
          <w:sz w:val="24"/>
          <w:szCs w:val="24"/>
        </w:rPr>
        <w:t>、实际分配红利低于年度分红目标等多项约定情形中任何一项时，要求其以约定转让对价购买其持有的标的公司全部股权，</w:t>
      </w:r>
      <w:proofErr w:type="gramStart"/>
      <w:r>
        <w:rPr>
          <w:rFonts w:ascii="Times New Roman" w:eastAsia="宋体" w:hAnsi="Times New Roman" w:cs="Times New Roman"/>
          <w:b/>
          <w:color w:val="000000"/>
          <w:sz w:val="24"/>
          <w:szCs w:val="24"/>
        </w:rPr>
        <w:t>年化收益率</w:t>
      </w:r>
      <w:proofErr w:type="gramEnd"/>
      <w:r>
        <w:rPr>
          <w:rFonts w:ascii="Times New Roman" w:eastAsia="宋体" w:hAnsi="Times New Roman" w:cs="Times New Roman"/>
          <w:b/>
          <w:color w:val="000000"/>
          <w:sz w:val="24"/>
          <w:szCs w:val="24"/>
        </w:rPr>
        <w:t>约为</w:t>
      </w:r>
      <w:r>
        <w:rPr>
          <w:rFonts w:ascii="Times New Roman" w:eastAsia="宋体" w:hAnsi="Times New Roman" w:cs="Times New Roman"/>
          <w:b/>
          <w:color w:val="000000"/>
          <w:sz w:val="24"/>
          <w:szCs w:val="24"/>
        </w:rPr>
        <w:t>6%</w:t>
      </w:r>
      <w:r>
        <w:rPr>
          <w:rFonts w:ascii="Times New Roman" w:eastAsia="宋体" w:hAnsi="Times New Roman" w:cs="Times New Roman"/>
          <w:b/>
          <w:color w:val="000000"/>
          <w:sz w:val="24"/>
          <w:szCs w:val="24"/>
        </w:rPr>
        <w:t>，若书面通知发出</w:t>
      </w:r>
      <w:r>
        <w:rPr>
          <w:rFonts w:ascii="Times New Roman" w:eastAsia="宋体" w:hAnsi="Times New Roman" w:cs="Times New Roman"/>
          <w:b/>
          <w:color w:val="000000"/>
          <w:sz w:val="24"/>
          <w:szCs w:val="24"/>
        </w:rPr>
        <w:t>120</w:t>
      </w:r>
      <w:r>
        <w:rPr>
          <w:rFonts w:ascii="Times New Roman" w:eastAsia="宋体" w:hAnsi="Times New Roman" w:cs="Times New Roman"/>
          <w:b/>
          <w:color w:val="000000"/>
          <w:sz w:val="24"/>
          <w:szCs w:val="24"/>
        </w:rPr>
        <w:t>日后，国</w:t>
      </w:r>
      <w:proofErr w:type="gramStart"/>
      <w:r>
        <w:rPr>
          <w:rFonts w:ascii="Times New Roman" w:eastAsia="宋体" w:hAnsi="Times New Roman" w:cs="Times New Roman"/>
          <w:b/>
          <w:color w:val="000000"/>
          <w:sz w:val="24"/>
          <w:szCs w:val="24"/>
        </w:rPr>
        <w:t>新建信</w:t>
      </w:r>
      <w:proofErr w:type="gramEnd"/>
      <w:r>
        <w:rPr>
          <w:rFonts w:ascii="Times New Roman" w:eastAsia="宋体" w:hAnsi="Times New Roman" w:cs="Times New Roman"/>
          <w:b/>
          <w:color w:val="000000"/>
          <w:sz w:val="24"/>
          <w:szCs w:val="24"/>
        </w:rPr>
        <w:t>基金仍未成功退出，可进一步享有对标的公司分红股息的利率跳升条款等。请公司补充披露：（</w:t>
      </w: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）前述利润分配安排的主要考虑，设定上述基准股息率的原因及合理性，是否会对标的公司的持续盈利能力、现金流产生不利影响，如是，请充分提示风险；（</w:t>
      </w: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）前述退出安排所涉及的投资期限、可回购期限，说明相关回购条款设置的合理性，并结合公司资金情况、现金流、经营业绩等，说明公</w:t>
      </w:r>
      <w:r>
        <w:rPr>
          <w:rFonts w:ascii="Times New Roman" w:eastAsia="宋体" w:hAnsi="Times New Roman" w:cs="Times New Roman"/>
          <w:b/>
          <w:color w:val="000000"/>
          <w:sz w:val="24"/>
          <w:szCs w:val="24"/>
        </w:rPr>
        <w:lastRenderedPageBreak/>
        <w:t>司是否具备回购履约能力，如否，请充分提示风险；（</w:t>
      </w:r>
      <w:r>
        <w:rPr>
          <w:rFonts w:ascii="Times New Roman" w:eastAsia="宋体" w:hAnsi="Times New Roman" w:cs="Times New Roman"/>
          <w:b/>
          <w:color w:val="000000"/>
          <w:sz w:val="24"/>
          <w:szCs w:val="24"/>
        </w:rPr>
        <w:t>3</w:t>
      </w:r>
      <w:r>
        <w:rPr>
          <w:rFonts w:ascii="Times New Roman" w:eastAsia="宋体" w:hAnsi="Times New Roman" w:cs="Times New Roman"/>
          <w:b/>
          <w:color w:val="000000"/>
          <w:sz w:val="24"/>
          <w:szCs w:val="24"/>
        </w:rPr>
        <w:t>）说明回购履约是否将对公司现金流、持续盈利能力产生不利影响，相关条款设置是否有损于上市公司利益；（</w:t>
      </w:r>
      <w:r>
        <w:rPr>
          <w:rFonts w:ascii="Times New Roman" w:eastAsia="宋体" w:hAnsi="Times New Roman" w:cs="Times New Roman"/>
          <w:b/>
          <w:color w:val="000000"/>
          <w:sz w:val="24"/>
          <w:szCs w:val="24"/>
        </w:rPr>
        <w:t>4</w:t>
      </w:r>
      <w:r>
        <w:rPr>
          <w:rFonts w:ascii="Times New Roman" w:eastAsia="宋体" w:hAnsi="Times New Roman" w:cs="Times New Roman"/>
          <w:b/>
          <w:color w:val="000000"/>
          <w:sz w:val="24"/>
          <w:szCs w:val="24"/>
        </w:rPr>
        <w:t>）结合问题（</w:t>
      </w: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w:t>
      </w:r>
      <w:r>
        <w:rPr>
          <w:rFonts w:ascii="Times New Roman" w:eastAsia="宋体" w:hAnsi="Times New Roman" w:cs="Times New Roman"/>
          <w:b/>
          <w:color w:val="000000"/>
          <w:sz w:val="24"/>
          <w:szCs w:val="24"/>
        </w:rPr>
        <w:t>-</w:t>
      </w:r>
      <w:r>
        <w:rPr>
          <w:rFonts w:ascii="Times New Roman" w:eastAsia="宋体" w:hAnsi="Times New Roman" w:cs="Times New Roman"/>
          <w:b/>
          <w:color w:val="000000"/>
          <w:sz w:val="24"/>
          <w:szCs w:val="24"/>
        </w:rPr>
        <w:t>（</w:t>
      </w:r>
      <w:r>
        <w:rPr>
          <w:rFonts w:ascii="Times New Roman" w:eastAsia="宋体" w:hAnsi="Times New Roman" w:cs="Times New Roman"/>
          <w:b/>
          <w:color w:val="000000"/>
          <w:sz w:val="24"/>
          <w:szCs w:val="24"/>
        </w:rPr>
        <w:t>3</w:t>
      </w:r>
      <w:r>
        <w:rPr>
          <w:rFonts w:ascii="Times New Roman" w:eastAsia="宋体" w:hAnsi="Times New Roman" w:cs="Times New Roman"/>
          <w:b/>
          <w:color w:val="000000"/>
          <w:sz w:val="24"/>
          <w:szCs w:val="24"/>
        </w:rPr>
        <w:t>），说明本次增资安排是否构成</w:t>
      </w:r>
      <w:r>
        <w:rPr>
          <w:rFonts w:ascii="Times New Roman" w:eastAsia="宋体" w:hAnsi="Times New Roman" w:cs="Times New Roman"/>
          <w:b/>
          <w:color w:val="000000"/>
          <w:sz w:val="24"/>
          <w:szCs w:val="24"/>
        </w:rPr>
        <w:t>“</w:t>
      </w:r>
      <w:r>
        <w:rPr>
          <w:rFonts w:ascii="Times New Roman" w:eastAsia="宋体" w:hAnsi="Times New Roman" w:cs="Times New Roman"/>
          <w:b/>
          <w:color w:val="000000"/>
          <w:sz w:val="24"/>
          <w:szCs w:val="24"/>
        </w:rPr>
        <w:t>明股实债</w:t>
      </w:r>
      <w:r>
        <w:rPr>
          <w:rFonts w:ascii="Times New Roman" w:eastAsia="宋体" w:hAnsi="Times New Roman" w:cs="Times New Roman"/>
          <w:b/>
          <w:color w:val="000000"/>
          <w:sz w:val="24"/>
          <w:szCs w:val="24"/>
        </w:rPr>
        <w:t>”</w:t>
      </w:r>
      <w:r>
        <w:rPr>
          <w:rFonts w:ascii="Times New Roman" w:eastAsia="宋体" w:hAnsi="Times New Roman" w:cs="Times New Roman"/>
          <w:b/>
          <w:color w:val="000000"/>
          <w:sz w:val="24"/>
          <w:szCs w:val="24"/>
        </w:rPr>
        <w:t>情形，说明本次增资的会计分类、会计处理及依据，并结合到期日、清偿顺序、利率跳升等安排，说明公司是否能无条件地避免交付现金或其他金融资产的合同义务，相关会计处理是否符合会计准则规定；（</w:t>
      </w:r>
      <w:r>
        <w:rPr>
          <w:rFonts w:ascii="Times New Roman" w:eastAsia="宋体" w:hAnsi="Times New Roman" w:cs="Times New Roman"/>
          <w:b/>
          <w:color w:val="000000"/>
          <w:sz w:val="24"/>
          <w:szCs w:val="24"/>
        </w:rPr>
        <w:t>5</w:t>
      </w:r>
      <w:r>
        <w:rPr>
          <w:rFonts w:ascii="Times New Roman" w:eastAsia="宋体" w:hAnsi="Times New Roman" w:cs="Times New Roman"/>
          <w:b/>
          <w:color w:val="000000"/>
          <w:sz w:val="24"/>
          <w:szCs w:val="24"/>
        </w:rPr>
        <w:t>）结合前述问题，说明本次增资的主要目的及必要性，是否有利于提高上市公司质量，是否符合重组办法相关规定。请财务顾问和会计师发表意见。</w:t>
      </w:r>
    </w:p>
    <w:p w14:paraId="56729F94"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b/>
          <w:sz w:val="24"/>
        </w:rPr>
        <w:t>回复</w:t>
      </w:r>
      <w:r>
        <w:rPr>
          <w:rFonts w:ascii="Times New Roman" w:hAnsi="Times New Roman" w:cs="Times New Roman" w:hint="eastAsia"/>
          <w:b/>
          <w:sz w:val="24"/>
        </w:rPr>
        <w:t>：</w:t>
      </w:r>
    </w:p>
    <w:p w14:paraId="0660CF07"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一、前述利润分配安排的主要考虑，设定上述基准股息率的原因及合理性，是否会对标的公司的持续盈利能力、现金流产生不利影响，如是，请充分提示风险</w:t>
      </w:r>
    </w:p>
    <w:p w14:paraId="4AF3065A"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（一）前述利润分配安排的主要考虑，设定上述基准股息率的原因及合理性</w:t>
      </w:r>
    </w:p>
    <w:p w14:paraId="6847771F" w14:textId="77777777" w:rsidR="00BD3166" w:rsidRDefault="00C64679">
      <w:pPr>
        <w:autoSpaceDE w:val="0"/>
        <w:autoSpaceDN w:val="0"/>
        <w:spacing w:beforeLines="50" w:before="156"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1</w:t>
      </w:r>
      <w:r>
        <w:rPr>
          <w:rFonts w:ascii="Times New Roman" w:eastAsia="宋体" w:hAnsi="Times New Roman" w:cs="Times New Roman" w:hint="eastAsia"/>
          <w:b/>
          <w:color w:val="000000"/>
          <w:sz w:val="24"/>
          <w:szCs w:val="24"/>
        </w:rPr>
        <w:t>、本次利润分配安排结合上市公司的分红机制由交易各方协商确定</w:t>
      </w:r>
    </w:p>
    <w:p w14:paraId="18B1C498"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多年来，证监会立足资本市场实情，从保护投资者合法权益、培育市场长期投资理念出发，引导上市公司完善现金分红机制，强化回报意识。大唐电信章程第一百九十一条对公司利润分配的具体政策做出了如下约定：“除特殊情况外，公司在当年盈利且累计未分配利润为正的情况下，采取现金方式分配股利，每年以现金方式分配的利润不少于合并报表可供分配利润的</w:t>
      </w:r>
      <w:r>
        <w:rPr>
          <w:rFonts w:ascii="Times New Roman" w:eastAsia="宋体" w:hAnsi="Times New Roman" w:cs="Times New Roman" w:hint="eastAsia"/>
          <w:color w:val="000000"/>
          <w:sz w:val="24"/>
          <w:szCs w:val="24"/>
        </w:rPr>
        <w:t>15%</w:t>
      </w:r>
      <w:r>
        <w:rPr>
          <w:rFonts w:ascii="Times New Roman" w:eastAsia="宋体" w:hAnsi="Times New Roman" w:cs="Times New Roman" w:hint="eastAsia"/>
          <w:color w:val="000000"/>
          <w:sz w:val="24"/>
          <w:szCs w:val="24"/>
        </w:rPr>
        <w:t>。特殊情况是指：当年每股累计可供分配利润低于</w:t>
      </w:r>
      <w:r>
        <w:rPr>
          <w:rFonts w:ascii="Times New Roman" w:eastAsia="宋体" w:hAnsi="Times New Roman" w:cs="Times New Roman" w:hint="eastAsia"/>
          <w:color w:val="000000"/>
          <w:sz w:val="24"/>
          <w:szCs w:val="24"/>
        </w:rPr>
        <w:t>0.1</w:t>
      </w:r>
      <w:r>
        <w:rPr>
          <w:rFonts w:ascii="Times New Roman" w:eastAsia="宋体" w:hAnsi="Times New Roman" w:cs="Times New Roman" w:hint="eastAsia"/>
          <w:color w:val="000000"/>
          <w:sz w:val="24"/>
          <w:szCs w:val="24"/>
        </w:rPr>
        <w:t>元。”</w:t>
      </w:r>
    </w:p>
    <w:p w14:paraId="76CFB702" w14:textId="69BB60FF"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根据交易各方协议约定：“本次增资后，在建信投资持股期间的每个会计年度，目标公司有可分配利润（含往年结转的未分配利润）的，即应在计提法定盈余公积后即进行分配，全体股东按照实</w:t>
      </w:r>
      <w:proofErr w:type="gramStart"/>
      <w:r>
        <w:rPr>
          <w:rFonts w:ascii="Times New Roman" w:eastAsia="宋体" w:hAnsi="Times New Roman" w:cs="Times New Roman" w:hint="eastAsia"/>
          <w:color w:val="000000"/>
          <w:sz w:val="24"/>
          <w:szCs w:val="24"/>
        </w:rPr>
        <w:t>缴</w:t>
      </w:r>
      <w:proofErr w:type="gramEnd"/>
      <w:r>
        <w:rPr>
          <w:rFonts w:ascii="Times New Roman" w:eastAsia="宋体" w:hAnsi="Times New Roman" w:cs="Times New Roman" w:hint="eastAsia"/>
          <w:color w:val="000000"/>
          <w:sz w:val="24"/>
          <w:szCs w:val="24"/>
        </w:rPr>
        <w:t>注册资本对应的持股比例获得分配现金红利</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”。作为非上市公司，上述在有可分配利润的情况下进行利润分配的约定与上市</w:t>
      </w:r>
      <w:proofErr w:type="gramStart"/>
      <w:r>
        <w:rPr>
          <w:rFonts w:ascii="Times New Roman" w:eastAsia="宋体" w:hAnsi="Times New Roman" w:cs="Times New Roman" w:hint="eastAsia"/>
          <w:color w:val="000000"/>
          <w:sz w:val="24"/>
          <w:szCs w:val="24"/>
        </w:rPr>
        <w:t>公司公司</w:t>
      </w:r>
      <w:proofErr w:type="gramEnd"/>
      <w:r>
        <w:rPr>
          <w:rFonts w:ascii="Times New Roman" w:eastAsia="宋体" w:hAnsi="Times New Roman" w:cs="Times New Roman" w:hint="eastAsia"/>
          <w:color w:val="000000"/>
          <w:sz w:val="24"/>
          <w:szCs w:val="24"/>
        </w:rPr>
        <w:t>章程约定有一定差异，</w:t>
      </w:r>
      <w:proofErr w:type="gramStart"/>
      <w:r>
        <w:rPr>
          <w:rFonts w:ascii="Times New Roman" w:eastAsia="宋体" w:hAnsi="Times New Roman" w:cs="Times New Roman" w:hint="eastAsia"/>
          <w:color w:val="000000"/>
          <w:sz w:val="24"/>
          <w:szCs w:val="24"/>
        </w:rPr>
        <w:t>系各方</w:t>
      </w:r>
      <w:proofErr w:type="gramEnd"/>
      <w:r>
        <w:rPr>
          <w:rFonts w:ascii="Times New Roman" w:eastAsia="宋体" w:hAnsi="Times New Roman" w:cs="Times New Roman" w:hint="eastAsia"/>
          <w:color w:val="000000"/>
          <w:sz w:val="24"/>
          <w:szCs w:val="24"/>
        </w:rPr>
        <w:t>根据标的公司具体情况协商确定，符合法律法规规定。此外，标的公司</w:t>
      </w:r>
      <w:r>
        <w:rPr>
          <w:rFonts w:ascii="Times New Roman" w:eastAsia="宋体" w:hAnsi="Times New Roman" w:cs="Times New Roman" w:hint="eastAsia"/>
          <w:color w:val="000000"/>
          <w:sz w:val="24"/>
          <w:szCs w:val="24"/>
        </w:rPr>
        <w:t>2</w:t>
      </w:r>
      <w:r>
        <w:rPr>
          <w:rFonts w:ascii="Times New Roman" w:eastAsia="宋体" w:hAnsi="Times New Roman" w:cs="Times New Roman"/>
          <w:color w:val="000000"/>
          <w:sz w:val="24"/>
          <w:szCs w:val="24"/>
        </w:rPr>
        <w:t>020</w:t>
      </w:r>
      <w:r>
        <w:rPr>
          <w:rFonts w:ascii="Times New Roman" w:eastAsia="宋体" w:hAnsi="Times New Roman" w:cs="Times New Roman" w:hint="eastAsia"/>
          <w:color w:val="000000"/>
          <w:sz w:val="24"/>
          <w:szCs w:val="24"/>
        </w:rPr>
        <w:t>年末未分配利润为</w:t>
      </w:r>
      <w:r>
        <w:rPr>
          <w:rFonts w:ascii="Times New Roman" w:eastAsia="宋体" w:hAnsi="Times New Roman" w:cs="Times New Roman"/>
          <w:color w:val="000000"/>
          <w:sz w:val="24"/>
          <w:szCs w:val="24"/>
        </w:rPr>
        <w:t>2,039.85</w:t>
      </w:r>
      <w:r>
        <w:rPr>
          <w:rFonts w:ascii="Times New Roman" w:eastAsia="宋体" w:hAnsi="Times New Roman" w:cs="Times New Roman" w:hint="eastAsia"/>
          <w:color w:val="000000"/>
          <w:sz w:val="24"/>
          <w:szCs w:val="24"/>
        </w:rPr>
        <w:t>万元，金额</w:t>
      </w:r>
      <w:r>
        <w:rPr>
          <w:rFonts w:ascii="Times New Roman" w:eastAsia="宋体" w:hAnsi="Times New Roman" w:cs="Times New Roman" w:hint="eastAsia"/>
          <w:color w:val="000000"/>
          <w:sz w:val="24"/>
          <w:szCs w:val="24"/>
        </w:rPr>
        <w:lastRenderedPageBreak/>
        <w:t>较小，增资实施后股东分红主要依赖标的公司当年收益并通过股东决议来实施利润分配，若股东会最终未按协议约定的分红机制形成决议，任何一方并不构成违约。该条款设置不会对标的公司的经营造成负面影响，亦不会构成股东可持续通过未分配利润分配获得固定分红的情形。</w:t>
      </w:r>
    </w:p>
    <w:p w14:paraId="19ACC5FC"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考虑到上市公司本部除房屋租赁收入外基本未开展其他业务，因此上市公司在进行利润分配时，需提前做好下属子公司对母公司利润分配的准备工作。大唐微电子本次增资后确定的分红机制有助于其积极向包括国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基金在内的全体股东积极进行利润分配，进而有利于上市公司向包括中小股东在内的全体股东积极实施利润分配，有利于维护广大中小股东的合法权益。</w:t>
      </w:r>
    </w:p>
    <w:p w14:paraId="14340A93"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本次《增资协议》关于分红的约定有助于上市公司后续积极实施利润分配，系结合上市公司分红机制由交易各方协商形成的条款。</w:t>
      </w:r>
    </w:p>
    <w:p w14:paraId="2B865B75" w14:textId="77777777" w:rsidR="00BD3166" w:rsidRDefault="00C64679">
      <w:pPr>
        <w:autoSpaceDE w:val="0"/>
        <w:autoSpaceDN w:val="0"/>
        <w:spacing w:beforeLines="50" w:before="156"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2</w:t>
      </w:r>
      <w:r>
        <w:rPr>
          <w:rFonts w:ascii="Times New Roman" w:eastAsia="宋体" w:hAnsi="Times New Roman" w:cs="Times New Roman" w:hint="eastAsia"/>
          <w:b/>
          <w:color w:val="000000"/>
          <w:sz w:val="24"/>
          <w:szCs w:val="24"/>
        </w:rPr>
        <w:t>、利润分配安排的根本目的是改善公司管理与经营</w:t>
      </w:r>
    </w:p>
    <w:p w14:paraId="5C6F57DE"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大唐微电子为公司控股子公司，该公司自主经营多年，是公司集成电路设计板块的核心单位。国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基金作为新加入的权益投资者，属于大唐微电子的参股股东，双方共同商议并确定了其增资后的年度分红目标（国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基金年度分红目标</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增资款金额×</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基准股息率）。上述利润分配安排为市场化债转</w:t>
      </w:r>
      <w:proofErr w:type="gramStart"/>
      <w:r>
        <w:rPr>
          <w:rFonts w:ascii="Times New Roman" w:eastAsia="宋体" w:hAnsi="Times New Roman" w:cs="Times New Roman" w:hint="eastAsia"/>
          <w:color w:val="000000"/>
          <w:sz w:val="24"/>
          <w:szCs w:val="24"/>
        </w:rPr>
        <w:t>股实践</w:t>
      </w:r>
      <w:proofErr w:type="gramEnd"/>
      <w:r>
        <w:rPr>
          <w:rFonts w:ascii="Times New Roman" w:eastAsia="宋体" w:hAnsi="Times New Roman" w:cs="Times New Roman" w:hint="eastAsia"/>
          <w:color w:val="000000"/>
          <w:sz w:val="24"/>
          <w:szCs w:val="24"/>
        </w:rPr>
        <w:t>中投资者为适当控制投资风险的通行做法，具备商业合理性。在标的公司获得大额资金注入后，该等分红安排一定程度上有助于提升公司经营管理层的责任心与紧迫感，并推动大唐微电子加强管理，提升盈利能力。</w:t>
      </w:r>
    </w:p>
    <w:p w14:paraId="368ABA9D" w14:textId="77777777" w:rsidR="00BD3166" w:rsidRDefault="00C64679">
      <w:pPr>
        <w:autoSpaceDE w:val="0"/>
        <w:autoSpaceDN w:val="0"/>
        <w:spacing w:beforeLines="50" w:before="156"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3</w:t>
      </w:r>
      <w:r>
        <w:rPr>
          <w:rFonts w:ascii="Times New Roman" w:eastAsia="宋体" w:hAnsi="Times New Roman" w:cs="Times New Roman" w:hint="eastAsia"/>
          <w:b/>
          <w:color w:val="000000"/>
          <w:sz w:val="24"/>
          <w:szCs w:val="24"/>
        </w:rPr>
        <w:t>、利润分配安排是市场化债转</w:t>
      </w:r>
      <w:proofErr w:type="gramStart"/>
      <w:r>
        <w:rPr>
          <w:rFonts w:ascii="Times New Roman" w:eastAsia="宋体" w:hAnsi="Times New Roman" w:cs="Times New Roman" w:hint="eastAsia"/>
          <w:b/>
          <w:color w:val="000000"/>
          <w:sz w:val="24"/>
          <w:szCs w:val="24"/>
        </w:rPr>
        <w:t>股实践</w:t>
      </w:r>
      <w:proofErr w:type="gramEnd"/>
      <w:r>
        <w:rPr>
          <w:rFonts w:ascii="Times New Roman" w:eastAsia="宋体" w:hAnsi="Times New Roman" w:cs="Times New Roman" w:hint="eastAsia"/>
          <w:b/>
          <w:color w:val="000000"/>
          <w:sz w:val="24"/>
          <w:szCs w:val="24"/>
        </w:rPr>
        <w:t>中的通行做法</w:t>
      </w:r>
    </w:p>
    <w:p w14:paraId="0325E025" w14:textId="77777777" w:rsidR="00BD3166" w:rsidRDefault="00C64679">
      <w:pPr>
        <w:autoSpaceDE w:val="0"/>
        <w:autoSpaceDN w:val="0"/>
        <w:spacing w:beforeLines="50" w:before="156"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在现有市场化债转</w:t>
      </w:r>
      <w:proofErr w:type="gramStart"/>
      <w:r>
        <w:rPr>
          <w:rFonts w:ascii="Times New Roman" w:eastAsia="宋体" w:hAnsi="Times New Roman" w:cs="Times New Roman" w:hint="eastAsia"/>
          <w:color w:val="000000"/>
          <w:sz w:val="24"/>
          <w:szCs w:val="24"/>
        </w:rPr>
        <w:t>股实践</w:t>
      </w:r>
      <w:proofErr w:type="gramEnd"/>
      <w:r>
        <w:rPr>
          <w:rFonts w:ascii="Times New Roman" w:eastAsia="宋体" w:hAnsi="Times New Roman" w:cs="Times New Roman" w:hint="eastAsia"/>
          <w:color w:val="000000"/>
          <w:sz w:val="24"/>
          <w:szCs w:val="24"/>
        </w:rPr>
        <w:t>中，大多案例均对年度分红目标进行了约定，具体情况如下：</w:t>
      </w:r>
    </w:p>
    <w:tbl>
      <w:tblPr>
        <w:tblStyle w:val="ab"/>
        <w:tblW w:w="5000" w:type="pct"/>
        <w:tblLook w:val="04A0" w:firstRow="1" w:lastRow="0" w:firstColumn="1" w:lastColumn="0" w:noHBand="0" w:noVBand="1"/>
      </w:tblPr>
      <w:tblGrid>
        <w:gridCol w:w="1242"/>
        <w:gridCol w:w="1275"/>
        <w:gridCol w:w="6005"/>
      </w:tblGrid>
      <w:tr w:rsidR="00BD3166" w14:paraId="4D67DD9F" w14:textId="77777777">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100" w:firstRow="0" w:lastRow="0" w:firstColumn="1" w:lastColumn="0" w:oddVBand="0" w:evenVBand="0" w:oddHBand="0" w:evenHBand="0" w:firstRowFirstColumn="1" w:firstRowLastColumn="0" w:lastRowFirstColumn="0" w:lastRowLastColumn="0"/>
            <w:tcW w:w="729" w:type="pct"/>
            <w:vAlign w:val="center"/>
          </w:tcPr>
          <w:p w14:paraId="5F14AD60" w14:textId="77777777" w:rsidR="00BD3166" w:rsidRDefault="00C64679">
            <w:pPr>
              <w:jc w:val="center"/>
              <w:rPr>
                <w:b/>
                <w:bCs/>
                <w:sz w:val="20"/>
                <w:szCs w:val="24"/>
              </w:rPr>
            </w:pPr>
            <w:r>
              <w:rPr>
                <w:rFonts w:hint="eastAsia"/>
                <w:b/>
                <w:bCs/>
                <w:sz w:val="20"/>
                <w:szCs w:val="24"/>
              </w:rPr>
              <w:t>公司名称</w:t>
            </w:r>
          </w:p>
        </w:tc>
        <w:tc>
          <w:tcPr>
            <w:tcW w:w="748" w:type="pct"/>
            <w:vAlign w:val="center"/>
          </w:tcPr>
          <w:p w14:paraId="374C3616" w14:textId="77777777" w:rsidR="00BD3166" w:rsidRDefault="00C64679">
            <w:pPr>
              <w:jc w:val="center"/>
              <w:cnfStyle w:val="100000000000" w:firstRow="1" w:lastRow="0" w:firstColumn="0" w:lastColumn="0" w:oddVBand="0" w:evenVBand="0" w:oddHBand="0" w:evenHBand="0" w:firstRowFirstColumn="0" w:firstRowLastColumn="0" w:lastRowFirstColumn="0" w:lastRowLastColumn="0"/>
              <w:rPr>
                <w:b/>
                <w:bCs/>
                <w:sz w:val="20"/>
                <w:szCs w:val="24"/>
              </w:rPr>
            </w:pPr>
            <w:r>
              <w:rPr>
                <w:rFonts w:hint="eastAsia"/>
                <w:b/>
                <w:bCs/>
                <w:sz w:val="20"/>
                <w:szCs w:val="24"/>
              </w:rPr>
              <w:t>基准股息率</w:t>
            </w:r>
          </w:p>
        </w:tc>
        <w:tc>
          <w:tcPr>
            <w:tcW w:w="3523" w:type="pct"/>
            <w:vAlign w:val="center"/>
          </w:tcPr>
          <w:p w14:paraId="01C3BE4A" w14:textId="77777777" w:rsidR="00BD3166" w:rsidRDefault="00C64679">
            <w:pPr>
              <w:jc w:val="center"/>
              <w:cnfStyle w:val="100000000000" w:firstRow="1" w:lastRow="0" w:firstColumn="0" w:lastColumn="0" w:oddVBand="0" w:evenVBand="0" w:oddHBand="0" w:evenHBand="0" w:firstRowFirstColumn="0" w:firstRowLastColumn="0" w:lastRowFirstColumn="0" w:lastRowLastColumn="0"/>
              <w:rPr>
                <w:b/>
                <w:bCs/>
                <w:sz w:val="20"/>
                <w:szCs w:val="24"/>
              </w:rPr>
            </w:pPr>
            <w:r>
              <w:rPr>
                <w:rFonts w:hint="eastAsia"/>
                <w:b/>
                <w:bCs/>
                <w:sz w:val="20"/>
                <w:szCs w:val="24"/>
              </w:rPr>
              <w:t>分红机制</w:t>
            </w:r>
          </w:p>
        </w:tc>
      </w:tr>
      <w:tr w:rsidR="00BD3166" w14:paraId="4410528E" w14:textId="77777777">
        <w:trPr>
          <w:trHeight w:val="397"/>
        </w:trPr>
        <w:tc>
          <w:tcPr>
            <w:cnfStyle w:val="001000000000" w:firstRow="0" w:lastRow="0" w:firstColumn="1" w:lastColumn="0" w:oddVBand="0" w:evenVBand="0" w:oddHBand="0" w:evenHBand="0" w:firstRowFirstColumn="0" w:firstRowLastColumn="0" w:lastRowFirstColumn="0" w:lastRowLastColumn="0"/>
            <w:tcW w:w="729" w:type="pct"/>
            <w:vAlign w:val="center"/>
          </w:tcPr>
          <w:p w14:paraId="24ADF435" w14:textId="77777777" w:rsidR="00BD3166" w:rsidRDefault="00C64679">
            <w:pPr>
              <w:rPr>
                <w:sz w:val="20"/>
                <w:szCs w:val="24"/>
              </w:rPr>
            </w:pPr>
            <w:r>
              <w:rPr>
                <w:rFonts w:hint="eastAsia"/>
                <w:sz w:val="20"/>
                <w:szCs w:val="24"/>
              </w:rPr>
              <w:t>葛洲坝</w:t>
            </w:r>
          </w:p>
        </w:tc>
        <w:tc>
          <w:tcPr>
            <w:tcW w:w="748" w:type="pct"/>
            <w:vAlign w:val="center"/>
          </w:tcPr>
          <w:p w14:paraId="407E5EC2" w14:textId="77777777" w:rsidR="00BD3166" w:rsidRDefault="00C64679">
            <w:pPr>
              <w:ind w:firstLineChars="200" w:firstLine="400"/>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5.50%</w:t>
            </w:r>
          </w:p>
        </w:tc>
        <w:tc>
          <w:tcPr>
            <w:tcW w:w="3523" w:type="pct"/>
            <w:vAlign w:val="center"/>
          </w:tcPr>
          <w:p w14:paraId="4B061995" w14:textId="77777777" w:rsidR="00BD3166" w:rsidRDefault="00C64679">
            <w:pP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公司按年度分红目标进行利润分配，被投资公司某一年度可用于分配利润不足以使得投资人取得的分红款项达到年度分红目标，则被投资公司该年度的可分配利润应全部分配给投资人。</w:t>
            </w:r>
          </w:p>
        </w:tc>
      </w:tr>
      <w:tr w:rsidR="00BD3166" w14:paraId="3A3BBFEB" w14:textId="77777777">
        <w:trPr>
          <w:trHeight w:val="397"/>
        </w:trPr>
        <w:tc>
          <w:tcPr>
            <w:cnfStyle w:val="001000000000" w:firstRow="0" w:lastRow="0" w:firstColumn="1" w:lastColumn="0" w:oddVBand="0" w:evenVBand="0" w:oddHBand="0" w:evenHBand="0" w:firstRowFirstColumn="0" w:firstRowLastColumn="0" w:lastRowFirstColumn="0" w:lastRowLastColumn="0"/>
            <w:tcW w:w="729" w:type="pct"/>
            <w:vAlign w:val="center"/>
          </w:tcPr>
          <w:p w14:paraId="413BDADE" w14:textId="77777777" w:rsidR="00BD3166" w:rsidRDefault="00C64679">
            <w:pPr>
              <w:rPr>
                <w:sz w:val="20"/>
                <w:szCs w:val="24"/>
              </w:rPr>
            </w:pPr>
            <w:r>
              <w:rPr>
                <w:rFonts w:hint="eastAsia"/>
                <w:sz w:val="20"/>
                <w:szCs w:val="24"/>
              </w:rPr>
              <w:t>龙建股份</w:t>
            </w:r>
          </w:p>
        </w:tc>
        <w:tc>
          <w:tcPr>
            <w:tcW w:w="748" w:type="pct"/>
            <w:vAlign w:val="center"/>
          </w:tcPr>
          <w:p w14:paraId="304842DA" w14:textId="77777777" w:rsidR="00BD3166" w:rsidRDefault="00C64679">
            <w:pPr>
              <w:ind w:firstLineChars="200" w:firstLine="400"/>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6.00%</w:t>
            </w:r>
          </w:p>
        </w:tc>
        <w:tc>
          <w:tcPr>
            <w:tcW w:w="3523" w:type="pct"/>
            <w:vAlign w:val="center"/>
          </w:tcPr>
          <w:p w14:paraId="5F39749E" w14:textId="77777777" w:rsidR="00BD3166" w:rsidRDefault="00C64679">
            <w:pP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标的公司至少于每个会计年度进行一次利润分配，按照以下方式对投资者进行利润分配：标的公司董事会在制定利润分配方案时，应以标的公司实际可供分配利润为限，按照各自实缴出资比例进行分配，且优先分配投资者。</w:t>
            </w:r>
          </w:p>
        </w:tc>
      </w:tr>
      <w:tr w:rsidR="00BD3166" w14:paraId="1078D858" w14:textId="77777777">
        <w:trPr>
          <w:trHeight w:val="397"/>
        </w:trPr>
        <w:tc>
          <w:tcPr>
            <w:cnfStyle w:val="001000000000" w:firstRow="0" w:lastRow="0" w:firstColumn="1" w:lastColumn="0" w:oddVBand="0" w:evenVBand="0" w:oddHBand="0" w:evenHBand="0" w:firstRowFirstColumn="0" w:firstRowLastColumn="0" w:lastRowFirstColumn="0" w:lastRowLastColumn="0"/>
            <w:tcW w:w="729" w:type="pct"/>
            <w:vAlign w:val="center"/>
          </w:tcPr>
          <w:p w14:paraId="213E7124" w14:textId="77777777" w:rsidR="00BD3166" w:rsidRDefault="00C64679">
            <w:pPr>
              <w:rPr>
                <w:sz w:val="20"/>
                <w:szCs w:val="24"/>
              </w:rPr>
            </w:pPr>
            <w:r>
              <w:rPr>
                <w:rFonts w:hint="eastAsia"/>
                <w:sz w:val="20"/>
                <w:szCs w:val="24"/>
              </w:rPr>
              <w:lastRenderedPageBreak/>
              <w:t>厦门象屿</w:t>
            </w:r>
          </w:p>
        </w:tc>
        <w:tc>
          <w:tcPr>
            <w:tcW w:w="748" w:type="pct"/>
            <w:vAlign w:val="center"/>
          </w:tcPr>
          <w:p w14:paraId="73873297" w14:textId="77777777" w:rsidR="00BD3166" w:rsidRDefault="00C64679">
            <w:pPr>
              <w:ind w:firstLineChars="200" w:firstLine="400"/>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6.20%</w:t>
            </w:r>
          </w:p>
        </w:tc>
        <w:tc>
          <w:tcPr>
            <w:tcW w:w="3523" w:type="pct"/>
            <w:vAlign w:val="center"/>
          </w:tcPr>
          <w:p w14:paraId="24ACB3C2" w14:textId="77777777" w:rsidR="00BD3166" w:rsidRDefault="00C64679">
            <w:pP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投资方持有象屿物流股权期间，在标的公司有可供分配利润的前提下，标的公司每年度应对上一年度可供分配利润对股东进行利润分配。且优先分配投资者。</w:t>
            </w:r>
          </w:p>
        </w:tc>
      </w:tr>
      <w:tr w:rsidR="00BD3166" w14:paraId="12449CAD" w14:textId="77777777">
        <w:trPr>
          <w:trHeight w:val="397"/>
        </w:trPr>
        <w:tc>
          <w:tcPr>
            <w:cnfStyle w:val="001000000000" w:firstRow="0" w:lastRow="0" w:firstColumn="1" w:lastColumn="0" w:oddVBand="0" w:evenVBand="0" w:oddHBand="0" w:evenHBand="0" w:firstRowFirstColumn="0" w:firstRowLastColumn="0" w:lastRowFirstColumn="0" w:lastRowLastColumn="0"/>
            <w:tcW w:w="729" w:type="pct"/>
            <w:vAlign w:val="center"/>
          </w:tcPr>
          <w:p w14:paraId="07106AA9" w14:textId="77777777" w:rsidR="00BD3166" w:rsidRDefault="00C64679">
            <w:pPr>
              <w:rPr>
                <w:sz w:val="20"/>
                <w:szCs w:val="24"/>
              </w:rPr>
            </w:pPr>
            <w:r>
              <w:rPr>
                <w:rFonts w:hint="eastAsia"/>
                <w:sz w:val="20"/>
                <w:szCs w:val="24"/>
              </w:rPr>
              <w:t>西部建设</w:t>
            </w:r>
          </w:p>
        </w:tc>
        <w:tc>
          <w:tcPr>
            <w:tcW w:w="748" w:type="pct"/>
            <w:vAlign w:val="center"/>
          </w:tcPr>
          <w:p w14:paraId="1BD87BD6" w14:textId="77777777" w:rsidR="00BD3166" w:rsidRDefault="00C64679">
            <w:pPr>
              <w:ind w:firstLineChars="200" w:firstLine="400"/>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5.80%</w:t>
            </w:r>
          </w:p>
        </w:tc>
        <w:tc>
          <w:tcPr>
            <w:tcW w:w="3523" w:type="pct"/>
            <w:vAlign w:val="center"/>
          </w:tcPr>
          <w:p w14:paraId="5B137B2F" w14:textId="77777777" w:rsidR="00BD3166" w:rsidRDefault="00C64679">
            <w:pP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1</w:t>
            </w:r>
            <w:r>
              <w:rPr>
                <w:rFonts w:hint="eastAsia"/>
                <w:sz w:val="20"/>
                <w:szCs w:val="24"/>
              </w:rPr>
              <w:t>、股利优先分配给投资人，直至投资人每年能够达到年度分红目标。</w:t>
            </w:r>
            <w:r>
              <w:rPr>
                <w:rFonts w:hint="eastAsia"/>
                <w:sz w:val="20"/>
                <w:szCs w:val="24"/>
              </w:rPr>
              <w:br/>
              <w:t>2</w:t>
            </w:r>
            <w:r>
              <w:rPr>
                <w:rFonts w:hint="eastAsia"/>
                <w:sz w:val="20"/>
                <w:szCs w:val="24"/>
              </w:rPr>
              <w:t>、若当年可分配利润不足以使投资人达到年度分红目标，以被投资公司往年未分配利润用于向投资人进行分配，直至满足投资人年度分红目标，剩余部分作为留存收益。</w:t>
            </w:r>
          </w:p>
          <w:p w14:paraId="1569ADFE" w14:textId="77777777" w:rsidR="00BD3166" w:rsidRDefault="00C64679">
            <w:pP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3</w:t>
            </w:r>
            <w:r>
              <w:rPr>
                <w:rFonts w:hint="eastAsia"/>
                <w:sz w:val="20"/>
                <w:szCs w:val="24"/>
              </w:rPr>
              <w:t>、若某一年度投资人无法达到年度分红目标，该年度的可分配利润应全部分配给投资人，差额部分及差额补偿金应计入下一年度的红利。</w:t>
            </w:r>
          </w:p>
        </w:tc>
      </w:tr>
      <w:tr w:rsidR="00BD3166" w14:paraId="16C8B015" w14:textId="77777777">
        <w:trPr>
          <w:trHeight w:val="397"/>
        </w:trPr>
        <w:tc>
          <w:tcPr>
            <w:cnfStyle w:val="001000000000" w:firstRow="0" w:lastRow="0" w:firstColumn="1" w:lastColumn="0" w:oddVBand="0" w:evenVBand="0" w:oddHBand="0" w:evenHBand="0" w:firstRowFirstColumn="0" w:firstRowLastColumn="0" w:lastRowFirstColumn="0" w:lastRowLastColumn="0"/>
            <w:tcW w:w="729" w:type="pct"/>
            <w:vAlign w:val="center"/>
          </w:tcPr>
          <w:p w14:paraId="6D3B638C" w14:textId="77777777" w:rsidR="00BD3166" w:rsidRDefault="00C64679">
            <w:pPr>
              <w:rPr>
                <w:sz w:val="20"/>
                <w:szCs w:val="24"/>
              </w:rPr>
            </w:pPr>
            <w:r>
              <w:rPr>
                <w:rFonts w:hint="eastAsia"/>
                <w:sz w:val="20"/>
                <w:szCs w:val="24"/>
              </w:rPr>
              <w:t>华北制药</w:t>
            </w:r>
          </w:p>
        </w:tc>
        <w:tc>
          <w:tcPr>
            <w:tcW w:w="748" w:type="pct"/>
            <w:vAlign w:val="center"/>
          </w:tcPr>
          <w:p w14:paraId="1A66F5BC" w14:textId="77777777" w:rsidR="00BD3166" w:rsidRDefault="00C64679">
            <w:pPr>
              <w:ind w:firstLineChars="200" w:firstLine="400"/>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5.80%</w:t>
            </w:r>
          </w:p>
        </w:tc>
        <w:tc>
          <w:tcPr>
            <w:tcW w:w="3523" w:type="pct"/>
            <w:vAlign w:val="center"/>
          </w:tcPr>
          <w:p w14:paraId="7AEDFB25" w14:textId="77777777" w:rsidR="00BD3166" w:rsidRDefault="00C64679">
            <w:pP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1</w:t>
            </w:r>
            <w:r>
              <w:rPr>
                <w:rFonts w:hint="eastAsia"/>
                <w:sz w:val="20"/>
                <w:szCs w:val="24"/>
              </w:rPr>
              <w:t>、按实缴进行分配。</w:t>
            </w:r>
            <w:r>
              <w:rPr>
                <w:rFonts w:hint="eastAsia"/>
                <w:sz w:val="20"/>
                <w:szCs w:val="24"/>
              </w:rPr>
              <w:br/>
              <w:t>2</w:t>
            </w:r>
            <w:r>
              <w:rPr>
                <w:rFonts w:hint="eastAsia"/>
                <w:sz w:val="20"/>
                <w:szCs w:val="24"/>
              </w:rPr>
              <w:t>、分红款未能达到年度分红目标则优先向投资人分配。</w:t>
            </w:r>
            <w:r>
              <w:rPr>
                <w:rFonts w:hint="eastAsia"/>
                <w:sz w:val="20"/>
                <w:szCs w:val="24"/>
              </w:rPr>
              <w:br/>
              <w:t>3</w:t>
            </w:r>
            <w:r>
              <w:rPr>
                <w:rFonts w:hint="eastAsia"/>
                <w:sz w:val="20"/>
                <w:szCs w:val="24"/>
              </w:rPr>
              <w:t>、若以全部累计未分配利润优先向投资人进行分配后，仍未达到年度分红目标，差额部分累积至下一年优先分配并计算跳升。</w:t>
            </w:r>
          </w:p>
        </w:tc>
      </w:tr>
      <w:tr w:rsidR="00BD3166" w14:paraId="7C6F13C7" w14:textId="77777777">
        <w:trPr>
          <w:trHeight w:val="397"/>
        </w:trPr>
        <w:tc>
          <w:tcPr>
            <w:cnfStyle w:val="001000000000" w:firstRow="0" w:lastRow="0" w:firstColumn="1" w:lastColumn="0" w:oddVBand="0" w:evenVBand="0" w:oddHBand="0" w:evenHBand="0" w:firstRowFirstColumn="0" w:firstRowLastColumn="0" w:lastRowFirstColumn="0" w:lastRowLastColumn="0"/>
            <w:tcW w:w="729" w:type="pct"/>
            <w:vAlign w:val="center"/>
          </w:tcPr>
          <w:p w14:paraId="2C17D000" w14:textId="77777777" w:rsidR="00BD3166" w:rsidRDefault="00C64679">
            <w:pPr>
              <w:rPr>
                <w:sz w:val="20"/>
                <w:szCs w:val="24"/>
              </w:rPr>
            </w:pPr>
            <w:r>
              <w:rPr>
                <w:rFonts w:hint="eastAsia"/>
                <w:sz w:val="20"/>
                <w:szCs w:val="24"/>
              </w:rPr>
              <w:t>福日电子</w:t>
            </w:r>
          </w:p>
        </w:tc>
        <w:tc>
          <w:tcPr>
            <w:tcW w:w="748" w:type="pct"/>
            <w:vAlign w:val="center"/>
          </w:tcPr>
          <w:p w14:paraId="28935696" w14:textId="77777777" w:rsidR="00BD3166" w:rsidRDefault="00C64679">
            <w:pPr>
              <w:ind w:firstLineChars="200" w:firstLine="400"/>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未披露</w:t>
            </w:r>
          </w:p>
        </w:tc>
        <w:tc>
          <w:tcPr>
            <w:tcW w:w="3523" w:type="pct"/>
            <w:vAlign w:val="center"/>
          </w:tcPr>
          <w:p w14:paraId="376D7004" w14:textId="77777777" w:rsidR="00BD3166" w:rsidRDefault="00C64679">
            <w:pP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1</w:t>
            </w:r>
            <w:r>
              <w:rPr>
                <w:rFonts w:hint="eastAsia"/>
                <w:sz w:val="20"/>
                <w:szCs w:val="24"/>
              </w:rPr>
              <w:t>、标的公司应于每个会计年度至少进行一次利润分配及现金股利支付。</w:t>
            </w:r>
            <w:r>
              <w:rPr>
                <w:rFonts w:hint="eastAsia"/>
                <w:sz w:val="20"/>
                <w:szCs w:val="24"/>
              </w:rPr>
              <w:br/>
              <w:t>2</w:t>
            </w:r>
            <w:r>
              <w:rPr>
                <w:rFonts w:hint="eastAsia"/>
                <w:sz w:val="20"/>
                <w:szCs w:val="24"/>
              </w:rPr>
              <w:t>、未达业绩预期的优先对投资者进行分配。</w:t>
            </w:r>
          </w:p>
        </w:tc>
      </w:tr>
      <w:tr w:rsidR="00BD3166" w14:paraId="175B9071" w14:textId="77777777">
        <w:trPr>
          <w:trHeight w:val="397"/>
        </w:trPr>
        <w:tc>
          <w:tcPr>
            <w:cnfStyle w:val="001000000000" w:firstRow="0" w:lastRow="0" w:firstColumn="1" w:lastColumn="0" w:oddVBand="0" w:evenVBand="0" w:oddHBand="0" w:evenHBand="0" w:firstRowFirstColumn="0" w:firstRowLastColumn="0" w:lastRowFirstColumn="0" w:lastRowLastColumn="0"/>
            <w:tcW w:w="729" w:type="pct"/>
            <w:vAlign w:val="center"/>
          </w:tcPr>
          <w:p w14:paraId="4C56C0B0" w14:textId="77777777" w:rsidR="00BD3166" w:rsidRDefault="00C64679">
            <w:pPr>
              <w:rPr>
                <w:sz w:val="20"/>
                <w:szCs w:val="24"/>
              </w:rPr>
            </w:pPr>
            <w:r>
              <w:rPr>
                <w:rFonts w:hint="eastAsia"/>
                <w:sz w:val="20"/>
                <w:szCs w:val="24"/>
              </w:rPr>
              <w:t>兴发集团</w:t>
            </w:r>
          </w:p>
        </w:tc>
        <w:tc>
          <w:tcPr>
            <w:tcW w:w="748" w:type="pct"/>
            <w:vAlign w:val="center"/>
          </w:tcPr>
          <w:p w14:paraId="372B0278" w14:textId="77777777" w:rsidR="00BD3166" w:rsidRDefault="00C64679">
            <w:pPr>
              <w:ind w:firstLineChars="200" w:firstLine="400"/>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6.50%</w:t>
            </w:r>
          </w:p>
        </w:tc>
        <w:tc>
          <w:tcPr>
            <w:tcW w:w="3523" w:type="pct"/>
            <w:vAlign w:val="center"/>
          </w:tcPr>
          <w:p w14:paraId="080A89F7" w14:textId="77777777" w:rsidR="00BD3166" w:rsidRDefault="00C64679">
            <w:pP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应优先分配投资者。</w:t>
            </w:r>
          </w:p>
        </w:tc>
      </w:tr>
      <w:tr w:rsidR="00BD3166" w14:paraId="17C12E99" w14:textId="77777777">
        <w:trPr>
          <w:trHeight w:val="397"/>
        </w:trPr>
        <w:tc>
          <w:tcPr>
            <w:cnfStyle w:val="001000000000" w:firstRow="0" w:lastRow="0" w:firstColumn="1" w:lastColumn="0" w:oddVBand="0" w:evenVBand="0" w:oddHBand="0" w:evenHBand="0" w:firstRowFirstColumn="0" w:firstRowLastColumn="0" w:lastRowFirstColumn="0" w:lastRowLastColumn="0"/>
            <w:tcW w:w="729" w:type="pct"/>
            <w:vAlign w:val="center"/>
          </w:tcPr>
          <w:p w14:paraId="2EC0EC02" w14:textId="77777777" w:rsidR="00BD3166" w:rsidRDefault="00C64679">
            <w:pPr>
              <w:rPr>
                <w:sz w:val="20"/>
                <w:szCs w:val="24"/>
              </w:rPr>
            </w:pPr>
            <w:r>
              <w:rPr>
                <w:rFonts w:hint="eastAsia"/>
                <w:sz w:val="20"/>
                <w:szCs w:val="24"/>
              </w:rPr>
              <w:t>合力泰</w:t>
            </w:r>
          </w:p>
        </w:tc>
        <w:tc>
          <w:tcPr>
            <w:tcW w:w="748" w:type="pct"/>
            <w:vAlign w:val="center"/>
          </w:tcPr>
          <w:p w14:paraId="3A2AE1F8" w14:textId="77777777" w:rsidR="00BD3166" w:rsidRDefault="00C64679">
            <w:pPr>
              <w:ind w:firstLineChars="200" w:firstLine="400"/>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6.50%</w:t>
            </w:r>
          </w:p>
        </w:tc>
        <w:tc>
          <w:tcPr>
            <w:tcW w:w="3523" w:type="pct"/>
            <w:vAlign w:val="center"/>
          </w:tcPr>
          <w:p w14:paraId="1A2BA763" w14:textId="77777777" w:rsidR="00BD3166" w:rsidRDefault="00C64679">
            <w:pP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在投资人持有标的公司股权期间，自交割年度次年起标的公司应按照约定方式每年至少进行一次利润分配及现金股利支付。</w:t>
            </w:r>
          </w:p>
        </w:tc>
      </w:tr>
      <w:tr w:rsidR="00BD3166" w14:paraId="1AC7F72C" w14:textId="77777777">
        <w:trPr>
          <w:trHeight w:val="397"/>
        </w:trPr>
        <w:tc>
          <w:tcPr>
            <w:cnfStyle w:val="001000000000" w:firstRow="0" w:lastRow="0" w:firstColumn="1" w:lastColumn="0" w:oddVBand="0" w:evenVBand="0" w:oddHBand="0" w:evenHBand="0" w:firstRowFirstColumn="0" w:firstRowLastColumn="0" w:lastRowFirstColumn="0" w:lastRowLastColumn="0"/>
            <w:tcW w:w="729" w:type="pct"/>
            <w:vAlign w:val="center"/>
          </w:tcPr>
          <w:p w14:paraId="69256ECF" w14:textId="77777777" w:rsidR="00BD3166" w:rsidRDefault="00C64679">
            <w:pPr>
              <w:rPr>
                <w:sz w:val="20"/>
                <w:szCs w:val="24"/>
              </w:rPr>
            </w:pPr>
            <w:r>
              <w:rPr>
                <w:rFonts w:hint="eastAsia"/>
                <w:sz w:val="20"/>
                <w:szCs w:val="24"/>
              </w:rPr>
              <w:t>云天化</w:t>
            </w:r>
          </w:p>
        </w:tc>
        <w:tc>
          <w:tcPr>
            <w:tcW w:w="748" w:type="pct"/>
            <w:vAlign w:val="center"/>
          </w:tcPr>
          <w:p w14:paraId="5C18E320" w14:textId="77777777" w:rsidR="00BD3166" w:rsidRDefault="00C64679">
            <w:pPr>
              <w:ind w:firstLineChars="200" w:firstLine="400"/>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7.30%</w:t>
            </w:r>
          </w:p>
        </w:tc>
        <w:tc>
          <w:tcPr>
            <w:tcW w:w="3523" w:type="pct"/>
            <w:vAlign w:val="center"/>
          </w:tcPr>
          <w:p w14:paraId="41CE19FE" w14:textId="77777777" w:rsidR="00BD3166" w:rsidRDefault="00C64679">
            <w:pP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标的公司每个会计年度在有可供分配的利润（含往年结转的未分配利润）的前提下，应进行利润分配。同时优先分红给投资方。</w:t>
            </w:r>
          </w:p>
        </w:tc>
      </w:tr>
    </w:tbl>
    <w:p w14:paraId="04621AEB"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在本次市场化债转</w:t>
      </w:r>
      <w:proofErr w:type="gramStart"/>
      <w:r>
        <w:rPr>
          <w:rFonts w:ascii="Times New Roman" w:eastAsia="宋体" w:hAnsi="Times New Roman" w:cs="Times New Roman" w:hint="eastAsia"/>
          <w:color w:val="000000"/>
          <w:sz w:val="24"/>
          <w:szCs w:val="24"/>
        </w:rPr>
        <w:t>股项目</w:t>
      </w:r>
      <w:proofErr w:type="gramEnd"/>
      <w:r>
        <w:rPr>
          <w:rFonts w:ascii="Times New Roman" w:eastAsia="宋体" w:hAnsi="Times New Roman" w:cs="Times New Roman" w:hint="eastAsia"/>
          <w:color w:val="000000"/>
          <w:sz w:val="24"/>
          <w:szCs w:val="24"/>
        </w:rPr>
        <w:t>中，双方对于利润分配做出如下约定：</w:t>
      </w:r>
    </w:p>
    <w:p w14:paraId="42AF6B3C" w14:textId="06A4634D" w:rsidR="00BD3166" w:rsidRDefault="00C64679" w:rsidP="00721BB4">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在国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基金持股期间，目标公司在有可分配利润（含往年滚存的未分配利润）的前提下，应在计提法定盈余</w:t>
      </w:r>
      <w:proofErr w:type="gramStart"/>
      <w:r>
        <w:rPr>
          <w:rFonts w:ascii="Times New Roman" w:eastAsia="宋体" w:hAnsi="Times New Roman" w:cs="Times New Roman" w:hint="eastAsia"/>
          <w:color w:val="000000"/>
          <w:sz w:val="24"/>
          <w:szCs w:val="24"/>
        </w:rPr>
        <w:t>公积后于</w:t>
      </w:r>
      <w:proofErr w:type="gramEnd"/>
      <w:r>
        <w:rPr>
          <w:rFonts w:ascii="Times New Roman" w:eastAsia="宋体" w:hAnsi="Times New Roman" w:cs="Times New Roman" w:hint="eastAsia"/>
          <w:color w:val="000000"/>
          <w:sz w:val="24"/>
          <w:szCs w:val="24"/>
        </w:rPr>
        <w:t>每年</w:t>
      </w:r>
      <w:r>
        <w:rPr>
          <w:rFonts w:ascii="Times New Roman" w:eastAsia="宋体" w:hAnsi="Times New Roman" w:cs="Times New Roman" w:hint="eastAsia"/>
          <w:color w:val="000000"/>
          <w:sz w:val="24"/>
          <w:szCs w:val="24"/>
        </w:rPr>
        <w:t>9</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30</w:t>
      </w:r>
      <w:r>
        <w:rPr>
          <w:rFonts w:ascii="Times New Roman" w:eastAsia="宋体" w:hAnsi="Times New Roman" w:cs="Times New Roman" w:hint="eastAsia"/>
          <w:color w:val="000000"/>
          <w:sz w:val="24"/>
          <w:szCs w:val="24"/>
        </w:rPr>
        <w:t>日之前召开股东会并对上一会计年度利润分配方案进行表决。</w:t>
      </w:r>
      <w:r w:rsidR="00721BB4">
        <w:rPr>
          <w:rFonts w:ascii="Times New Roman" w:eastAsia="宋体" w:hAnsi="Times New Roman" w:cs="Times New Roman" w:hint="eastAsia"/>
          <w:color w:val="000000"/>
          <w:sz w:val="24"/>
          <w:szCs w:val="24"/>
        </w:rPr>
        <w:t>根据相关主体签署的《</w:t>
      </w:r>
      <w:r w:rsidR="00721BB4" w:rsidRPr="00721BB4">
        <w:rPr>
          <w:rFonts w:ascii="Times New Roman" w:eastAsia="宋体" w:hAnsi="Times New Roman" w:cs="Times New Roman" w:hint="eastAsia"/>
          <w:color w:val="000000"/>
          <w:sz w:val="24"/>
          <w:szCs w:val="24"/>
        </w:rPr>
        <w:t>大唐微电子技术有限公司增资协议之补充协议</w:t>
      </w:r>
      <w:r w:rsidR="00721BB4">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全体股东按照实</w:t>
      </w:r>
      <w:proofErr w:type="gramStart"/>
      <w:r>
        <w:rPr>
          <w:rFonts w:ascii="Times New Roman" w:eastAsia="宋体" w:hAnsi="Times New Roman" w:cs="Times New Roman" w:hint="eastAsia"/>
          <w:color w:val="000000"/>
          <w:sz w:val="24"/>
          <w:szCs w:val="24"/>
        </w:rPr>
        <w:t>缴</w:t>
      </w:r>
      <w:proofErr w:type="gramEnd"/>
      <w:r>
        <w:rPr>
          <w:rFonts w:ascii="Times New Roman" w:eastAsia="宋体" w:hAnsi="Times New Roman" w:cs="Times New Roman" w:hint="eastAsia"/>
          <w:color w:val="000000"/>
          <w:sz w:val="24"/>
          <w:szCs w:val="24"/>
        </w:rPr>
        <w:t>注册资本对应的持股比例分红，国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基金的年度分红目标</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增资款金额×</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的基准股息率。利润分配方案最终以股东会决策为准，若股东会最终未按上述约定的分红机制形成决议，任何一方并不构成违约。</w:t>
      </w:r>
    </w:p>
    <w:p w14:paraId="5EB1A9AC"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如上表所述，在列示的市场化债转股案例中，除设置了基准股息率外，基本均设置了在有可供分配利润时按分红目标（即基准股息率）进行分配的条款。双方约定的基准股息率相对较低，分红机制与该等案例基本一致，符合可比案例惯例。</w:t>
      </w:r>
    </w:p>
    <w:p w14:paraId="60C71342"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综上，此次增资中，公司与国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基金约定的利润分配安排、基准股息率</w:t>
      </w:r>
      <w:r>
        <w:rPr>
          <w:rFonts w:ascii="Times New Roman" w:eastAsia="宋体" w:hAnsi="Times New Roman" w:cs="Times New Roman" w:hint="eastAsia"/>
          <w:color w:val="000000"/>
          <w:sz w:val="24"/>
          <w:szCs w:val="24"/>
        </w:rPr>
        <w:lastRenderedPageBreak/>
        <w:t>等条款系经双方共同协商确定的协议条款，上述安排与市场化债转股业务模式的通行做法相契合，具备商业合理性。</w:t>
      </w:r>
    </w:p>
    <w:p w14:paraId="503ABAC5"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（二）是否会对标的公司的持续盈利能力、现金流产生不利影响，如是，请充分提示风险</w:t>
      </w:r>
    </w:p>
    <w:p w14:paraId="781BF1B4"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前述大唐微电子的利润分配方案均基于公司当年的盈利情况所安排，国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基金每年所获得的分红将按增资款金额乘以</w:t>
      </w:r>
      <w:r>
        <w:rPr>
          <w:rFonts w:ascii="Times New Roman" w:hAnsi="Times New Roman" w:cs="Times New Roman" w:hint="eastAsia"/>
          <w:sz w:val="24"/>
        </w:rPr>
        <w:t>3%/</w:t>
      </w:r>
      <w:r>
        <w:rPr>
          <w:rFonts w:ascii="Times New Roman" w:hAnsi="Times New Roman" w:cs="Times New Roman" w:hint="eastAsia"/>
          <w:sz w:val="24"/>
        </w:rPr>
        <w:t>年的基准股息率进行计算，即人民币</w:t>
      </w:r>
      <w:r>
        <w:rPr>
          <w:rFonts w:ascii="Times New Roman" w:hAnsi="Times New Roman" w:cs="Times New Roman" w:hint="eastAsia"/>
          <w:sz w:val="24"/>
        </w:rPr>
        <w:t>1,200.00</w:t>
      </w:r>
      <w:r>
        <w:rPr>
          <w:rFonts w:ascii="Times New Roman" w:hAnsi="Times New Roman" w:cs="Times New Roman" w:hint="eastAsia"/>
          <w:sz w:val="24"/>
        </w:rPr>
        <w:t>万元，当大唐微电子可供分配利润不足以使国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基金取得的分红款达到年度分红目标时，将按照股东会决议方式进行分配。报告期内，大唐微电子</w:t>
      </w:r>
      <w:r>
        <w:rPr>
          <w:rFonts w:ascii="Times New Roman" w:hAnsi="Times New Roman" w:cs="Times New Roman" w:hint="eastAsia"/>
          <w:sz w:val="24"/>
        </w:rPr>
        <w:t>2018-2020</w:t>
      </w:r>
      <w:r>
        <w:rPr>
          <w:rFonts w:ascii="Times New Roman" w:hAnsi="Times New Roman" w:cs="Times New Roman" w:hint="eastAsia"/>
          <w:sz w:val="24"/>
        </w:rPr>
        <w:t>年度的主要财务数据情况如下：</w:t>
      </w:r>
    </w:p>
    <w:p w14:paraId="631473EF" w14:textId="77777777" w:rsidR="00BD3166" w:rsidRDefault="00C64679">
      <w:pPr>
        <w:spacing w:line="360" w:lineRule="auto"/>
        <w:ind w:firstLineChars="200" w:firstLine="480"/>
        <w:jc w:val="right"/>
        <w:rPr>
          <w:rFonts w:ascii="Times New Roman" w:hAnsi="Times New Roman" w:cs="Times New Roman"/>
          <w:sz w:val="24"/>
        </w:rPr>
      </w:pPr>
      <w:r>
        <w:rPr>
          <w:rFonts w:ascii="Times New Roman" w:hAnsi="Times New Roman" w:cs="Times New Roman" w:hint="eastAsia"/>
          <w:sz w:val="24"/>
        </w:rPr>
        <w:t>金额单位：人民币万元</w:t>
      </w:r>
    </w:p>
    <w:tbl>
      <w:tblPr>
        <w:tblStyle w:val="ab"/>
        <w:tblW w:w="5000" w:type="pct"/>
        <w:tblLook w:val="04A0" w:firstRow="1" w:lastRow="0" w:firstColumn="1" w:lastColumn="0" w:noHBand="0" w:noVBand="1"/>
      </w:tblPr>
      <w:tblGrid>
        <w:gridCol w:w="3074"/>
        <w:gridCol w:w="1527"/>
        <w:gridCol w:w="1975"/>
        <w:gridCol w:w="1946"/>
      </w:tblGrid>
      <w:tr w:rsidR="00BD3166" w14:paraId="5F4ECAC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3" w:type="pct"/>
            <w:vAlign w:val="center"/>
          </w:tcPr>
          <w:p w14:paraId="22B0873F" w14:textId="77777777" w:rsidR="00BD3166" w:rsidRDefault="00C64679">
            <w:pPr>
              <w:widowControl/>
              <w:jc w:val="center"/>
              <w:rPr>
                <w:kern w:val="0"/>
                <w:szCs w:val="18"/>
              </w:rPr>
            </w:pPr>
            <w:r>
              <w:rPr>
                <w:rFonts w:hint="eastAsia"/>
                <w:kern w:val="0"/>
                <w:szCs w:val="18"/>
              </w:rPr>
              <w:t>项目</w:t>
            </w:r>
          </w:p>
        </w:tc>
        <w:tc>
          <w:tcPr>
            <w:tcW w:w="896" w:type="pct"/>
            <w:vAlign w:val="center"/>
          </w:tcPr>
          <w:p w14:paraId="6941332E" w14:textId="77777777" w:rsidR="00BD3166" w:rsidRDefault="00C64679">
            <w:pPr>
              <w:widowControl/>
              <w:jc w:val="center"/>
              <w:cnfStyle w:val="100000000000" w:firstRow="1" w:lastRow="0" w:firstColumn="0" w:lastColumn="0" w:oddVBand="0" w:evenVBand="0" w:oddHBand="0" w:evenHBand="0" w:firstRowFirstColumn="0" w:firstRowLastColumn="0" w:lastRowFirstColumn="0" w:lastRowLastColumn="0"/>
              <w:rPr>
                <w:kern w:val="0"/>
                <w:szCs w:val="18"/>
              </w:rPr>
            </w:pPr>
            <w:r>
              <w:rPr>
                <w:kern w:val="0"/>
                <w:szCs w:val="18"/>
              </w:rPr>
              <w:t>2020</w:t>
            </w:r>
            <w:r>
              <w:rPr>
                <w:rFonts w:hint="eastAsia"/>
                <w:kern w:val="0"/>
                <w:szCs w:val="18"/>
              </w:rPr>
              <w:t>年度</w:t>
            </w:r>
          </w:p>
        </w:tc>
        <w:tc>
          <w:tcPr>
            <w:tcW w:w="1159" w:type="pct"/>
            <w:vAlign w:val="center"/>
          </w:tcPr>
          <w:p w14:paraId="05556DDE" w14:textId="77777777" w:rsidR="00BD3166" w:rsidRDefault="00C64679">
            <w:pPr>
              <w:widowControl/>
              <w:jc w:val="center"/>
              <w:cnfStyle w:val="100000000000" w:firstRow="1" w:lastRow="0" w:firstColumn="0" w:lastColumn="0" w:oddVBand="0" w:evenVBand="0" w:oddHBand="0" w:evenHBand="0" w:firstRowFirstColumn="0" w:firstRowLastColumn="0" w:lastRowFirstColumn="0" w:lastRowLastColumn="0"/>
              <w:rPr>
                <w:kern w:val="0"/>
                <w:szCs w:val="18"/>
              </w:rPr>
            </w:pPr>
            <w:r>
              <w:rPr>
                <w:kern w:val="0"/>
                <w:szCs w:val="18"/>
              </w:rPr>
              <w:t>2019</w:t>
            </w:r>
            <w:r>
              <w:rPr>
                <w:rFonts w:hint="eastAsia"/>
                <w:kern w:val="0"/>
                <w:szCs w:val="18"/>
              </w:rPr>
              <w:t>年度</w:t>
            </w:r>
          </w:p>
        </w:tc>
        <w:tc>
          <w:tcPr>
            <w:tcW w:w="1143" w:type="pct"/>
            <w:vAlign w:val="center"/>
          </w:tcPr>
          <w:p w14:paraId="39647E51" w14:textId="77777777" w:rsidR="00BD3166" w:rsidRDefault="00C64679">
            <w:pPr>
              <w:widowControl/>
              <w:jc w:val="center"/>
              <w:cnfStyle w:val="100000000000" w:firstRow="1" w:lastRow="0" w:firstColumn="0" w:lastColumn="0" w:oddVBand="0" w:evenVBand="0" w:oddHBand="0" w:evenHBand="0" w:firstRowFirstColumn="0" w:firstRowLastColumn="0" w:lastRowFirstColumn="0" w:lastRowLastColumn="0"/>
              <w:rPr>
                <w:kern w:val="0"/>
                <w:szCs w:val="18"/>
              </w:rPr>
            </w:pPr>
            <w:r>
              <w:rPr>
                <w:kern w:val="0"/>
                <w:szCs w:val="18"/>
              </w:rPr>
              <w:t>2018</w:t>
            </w:r>
            <w:r>
              <w:rPr>
                <w:rFonts w:hint="eastAsia"/>
                <w:kern w:val="0"/>
                <w:szCs w:val="18"/>
              </w:rPr>
              <w:t>年度</w:t>
            </w:r>
          </w:p>
        </w:tc>
      </w:tr>
      <w:tr w:rsidR="00BD3166" w14:paraId="231D377F" w14:textId="77777777">
        <w:tc>
          <w:tcPr>
            <w:cnfStyle w:val="001000000000" w:firstRow="0" w:lastRow="0" w:firstColumn="1" w:lastColumn="0" w:oddVBand="0" w:evenVBand="0" w:oddHBand="0" w:evenHBand="0" w:firstRowFirstColumn="0" w:firstRowLastColumn="0" w:lastRowFirstColumn="0" w:lastRowLastColumn="0"/>
            <w:tcW w:w="1803" w:type="pct"/>
            <w:vAlign w:val="center"/>
          </w:tcPr>
          <w:p w14:paraId="6CC54C71" w14:textId="77777777" w:rsidR="00BD3166" w:rsidRDefault="00C64679">
            <w:pPr>
              <w:widowControl/>
              <w:jc w:val="left"/>
              <w:rPr>
                <w:kern w:val="0"/>
                <w:szCs w:val="18"/>
              </w:rPr>
            </w:pPr>
            <w:r>
              <w:rPr>
                <w:rFonts w:hint="eastAsia"/>
                <w:kern w:val="0"/>
                <w:szCs w:val="18"/>
              </w:rPr>
              <w:t>营业收入</w:t>
            </w:r>
          </w:p>
        </w:tc>
        <w:tc>
          <w:tcPr>
            <w:tcW w:w="896" w:type="pct"/>
            <w:vAlign w:val="center"/>
          </w:tcPr>
          <w:p w14:paraId="68126E54"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36,307.21</w:t>
            </w:r>
          </w:p>
        </w:tc>
        <w:tc>
          <w:tcPr>
            <w:tcW w:w="1159" w:type="pct"/>
            <w:vAlign w:val="center"/>
          </w:tcPr>
          <w:p w14:paraId="261F8048"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41,061.05</w:t>
            </w:r>
          </w:p>
        </w:tc>
        <w:tc>
          <w:tcPr>
            <w:tcW w:w="1143" w:type="pct"/>
            <w:vAlign w:val="center"/>
          </w:tcPr>
          <w:p w14:paraId="218915FC"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45,355.98</w:t>
            </w:r>
          </w:p>
        </w:tc>
      </w:tr>
      <w:tr w:rsidR="00BD3166" w14:paraId="5EC95F43" w14:textId="77777777">
        <w:tc>
          <w:tcPr>
            <w:cnfStyle w:val="001000000000" w:firstRow="0" w:lastRow="0" w:firstColumn="1" w:lastColumn="0" w:oddVBand="0" w:evenVBand="0" w:oddHBand="0" w:evenHBand="0" w:firstRowFirstColumn="0" w:firstRowLastColumn="0" w:lastRowFirstColumn="0" w:lastRowLastColumn="0"/>
            <w:tcW w:w="1803" w:type="pct"/>
            <w:vAlign w:val="center"/>
          </w:tcPr>
          <w:p w14:paraId="32E6B989" w14:textId="77777777" w:rsidR="00BD3166" w:rsidRDefault="00C64679">
            <w:pPr>
              <w:widowControl/>
              <w:jc w:val="left"/>
              <w:rPr>
                <w:kern w:val="0"/>
                <w:szCs w:val="18"/>
              </w:rPr>
            </w:pPr>
            <w:r>
              <w:rPr>
                <w:rFonts w:hint="eastAsia"/>
                <w:kern w:val="0"/>
                <w:szCs w:val="18"/>
              </w:rPr>
              <w:t>净利润</w:t>
            </w:r>
          </w:p>
        </w:tc>
        <w:tc>
          <w:tcPr>
            <w:tcW w:w="896" w:type="pct"/>
            <w:vAlign w:val="center"/>
          </w:tcPr>
          <w:p w14:paraId="586891AA"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4,280.22</w:t>
            </w:r>
          </w:p>
        </w:tc>
        <w:tc>
          <w:tcPr>
            <w:tcW w:w="1159" w:type="pct"/>
            <w:vAlign w:val="center"/>
          </w:tcPr>
          <w:p w14:paraId="3EA8F8E1"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4,975.42</w:t>
            </w:r>
          </w:p>
        </w:tc>
        <w:tc>
          <w:tcPr>
            <w:tcW w:w="1143" w:type="pct"/>
            <w:vAlign w:val="center"/>
          </w:tcPr>
          <w:p w14:paraId="7360AC92"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5,192.24</w:t>
            </w:r>
          </w:p>
        </w:tc>
      </w:tr>
      <w:tr w:rsidR="00BD3166" w14:paraId="28FC608C" w14:textId="77777777">
        <w:tc>
          <w:tcPr>
            <w:cnfStyle w:val="001000000000" w:firstRow="0" w:lastRow="0" w:firstColumn="1" w:lastColumn="0" w:oddVBand="0" w:evenVBand="0" w:oddHBand="0" w:evenHBand="0" w:firstRowFirstColumn="0" w:firstRowLastColumn="0" w:lastRowFirstColumn="0" w:lastRowLastColumn="0"/>
            <w:tcW w:w="1803" w:type="pct"/>
            <w:vAlign w:val="center"/>
          </w:tcPr>
          <w:p w14:paraId="6E5881DA" w14:textId="77777777" w:rsidR="00BD3166" w:rsidRDefault="00C64679">
            <w:pPr>
              <w:widowControl/>
              <w:jc w:val="left"/>
              <w:rPr>
                <w:kern w:val="0"/>
                <w:szCs w:val="18"/>
              </w:rPr>
            </w:pPr>
            <w:r>
              <w:rPr>
                <w:rFonts w:hint="eastAsia"/>
                <w:kern w:val="0"/>
                <w:szCs w:val="18"/>
              </w:rPr>
              <w:t>净资产收益率（</w:t>
            </w:r>
            <w:r>
              <w:rPr>
                <w:rFonts w:hint="eastAsia"/>
                <w:kern w:val="0"/>
                <w:szCs w:val="18"/>
              </w:rPr>
              <w:t>%</w:t>
            </w:r>
            <w:r>
              <w:rPr>
                <w:rFonts w:hint="eastAsia"/>
                <w:kern w:val="0"/>
                <w:szCs w:val="18"/>
              </w:rPr>
              <w:t>）</w:t>
            </w:r>
          </w:p>
        </w:tc>
        <w:tc>
          <w:tcPr>
            <w:tcW w:w="896" w:type="pct"/>
            <w:vAlign w:val="center"/>
          </w:tcPr>
          <w:p w14:paraId="547A7358"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rFonts w:hint="eastAsia"/>
                <w:kern w:val="0"/>
                <w:szCs w:val="18"/>
              </w:rPr>
              <w:t>11.01</w:t>
            </w:r>
          </w:p>
        </w:tc>
        <w:tc>
          <w:tcPr>
            <w:tcW w:w="1159" w:type="pct"/>
            <w:vAlign w:val="center"/>
          </w:tcPr>
          <w:p w14:paraId="78A7C737"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rFonts w:hint="eastAsia"/>
                <w:kern w:val="0"/>
                <w:szCs w:val="18"/>
              </w:rPr>
              <w:t>12.31</w:t>
            </w:r>
          </w:p>
        </w:tc>
        <w:tc>
          <w:tcPr>
            <w:tcW w:w="1143" w:type="pct"/>
            <w:vAlign w:val="center"/>
          </w:tcPr>
          <w:p w14:paraId="5792776C"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rFonts w:hint="eastAsia"/>
                <w:kern w:val="0"/>
                <w:szCs w:val="18"/>
              </w:rPr>
              <w:t>14.66</w:t>
            </w:r>
          </w:p>
        </w:tc>
      </w:tr>
      <w:tr w:rsidR="00BD3166" w14:paraId="0EE0A8F0" w14:textId="77777777">
        <w:tc>
          <w:tcPr>
            <w:cnfStyle w:val="001000000000" w:firstRow="0" w:lastRow="0" w:firstColumn="1" w:lastColumn="0" w:oddVBand="0" w:evenVBand="0" w:oddHBand="0" w:evenHBand="0" w:firstRowFirstColumn="0" w:firstRowLastColumn="0" w:lastRowFirstColumn="0" w:lastRowLastColumn="0"/>
            <w:tcW w:w="1803" w:type="pct"/>
            <w:vAlign w:val="center"/>
          </w:tcPr>
          <w:p w14:paraId="7510AD6D" w14:textId="77777777" w:rsidR="00BD3166" w:rsidRDefault="00C64679">
            <w:pPr>
              <w:widowControl/>
              <w:jc w:val="left"/>
              <w:rPr>
                <w:kern w:val="0"/>
                <w:szCs w:val="18"/>
              </w:rPr>
            </w:pPr>
            <w:r>
              <w:rPr>
                <w:rFonts w:hint="eastAsia"/>
                <w:kern w:val="0"/>
                <w:szCs w:val="18"/>
              </w:rPr>
              <w:t>经营活动产生的现金流净额</w:t>
            </w:r>
          </w:p>
        </w:tc>
        <w:tc>
          <w:tcPr>
            <w:tcW w:w="896" w:type="pct"/>
            <w:vAlign w:val="center"/>
          </w:tcPr>
          <w:p w14:paraId="1BDA353F"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10,712.36</w:t>
            </w:r>
          </w:p>
        </w:tc>
        <w:tc>
          <w:tcPr>
            <w:tcW w:w="1159" w:type="pct"/>
            <w:vAlign w:val="center"/>
          </w:tcPr>
          <w:p w14:paraId="1D39751A"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15,651.55</w:t>
            </w:r>
          </w:p>
        </w:tc>
        <w:tc>
          <w:tcPr>
            <w:tcW w:w="1143" w:type="pct"/>
            <w:vAlign w:val="center"/>
          </w:tcPr>
          <w:p w14:paraId="404E174D" w14:textId="77777777" w:rsidR="00BD3166" w:rsidRDefault="00C64679">
            <w:pPr>
              <w:widowControl/>
              <w:spacing w:line="400" w:lineRule="atLeast"/>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11,802.84</w:t>
            </w:r>
          </w:p>
        </w:tc>
      </w:tr>
    </w:tbl>
    <w:p w14:paraId="5BBDA8FF" w14:textId="77777777" w:rsidR="00BD3166" w:rsidRDefault="00C64679">
      <w:pPr>
        <w:spacing w:line="360" w:lineRule="auto"/>
        <w:ind w:firstLineChars="200" w:firstLine="360"/>
        <w:jc w:val="left"/>
        <w:rPr>
          <w:rFonts w:ascii="Times New Roman" w:hAnsi="Times New Roman" w:cs="Times New Roman"/>
          <w:sz w:val="18"/>
          <w:szCs w:val="18"/>
        </w:rPr>
      </w:pPr>
      <w:r>
        <w:rPr>
          <w:rFonts w:ascii="Times New Roman" w:hAnsi="Times New Roman" w:cs="Times New Roman" w:hint="eastAsia"/>
          <w:sz w:val="18"/>
          <w:szCs w:val="18"/>
        </w:rPr>
        <w:t>注：上表</w:t>
      </w:r>
      <w:r>
        <w:rPr>
          <w:rFonts w:ascii="Times New Roman" w:hAnsi="Times New Roman" w:cs="Times New Roman" w:hint="eastAsia"/>
          <w:sz w:val="18"/>
          <w:szCs w:val="18"/>
        </w:rPr>
        <w:t>2020</w:t>
      </w:r>
      <w:r>
        <w:rPr>
          <w:rFonts w:ascii="Times New Roman" w:hAnsi="Times New Roman" w:cs="Times New Roman" w:hint="eastAsia"/>
          <w:sz w:val="18"/>
          <w:szCs w:val="18"/>
        </w:rPr>
        <w:t>年度净利润为扣除专项减值等偶发因素的影响后数据</w:t>
      </w:r>
    </w:p>
    <w:p w14:paraId="1609261E"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结合上述历史财务数据，大唐微电子近年来盈利稳定，经营活动现金持续净流入。且本次交易完成后，大唐微电子收到的增资款将用于归还金融机构借款，公司非经营性活动的现金流出将大幅减少，财务费用将进一步缩减。因此未来大唐微电子在盈利的基础上能够产生足够的经营现金流入用以进行利润分配。</w:t>
      </w:r>
    </w:p>
    <w:p w14:paraId="7807FA74" w14:textId="6B822217" w:rsidR="00BD3166" w:rsidRDefault="00721BB4">
      <w:pPr>
        <w:spacing w:line="360" w:lineRule="auto"/>
        <w:ind w:firstLineChars="200" w:firstLine="480"/>
        <w:rPr>
          <w:rFonts w:ascii="Times New Roman" w:hAnsi="Times New Roman" w:cs="Times New Roman"/>
          <w:sz w:val="24"/>
        </w:rPr>
      </w:pPr>
      <w:r>
        <w:rPr>
          <w:rFonts w:ascii="Times New Roman" w:eastAsia="宋体" w:hAnsi="Times New Roman" w:cs="Times New Roman" w:hint="eastAsia"/>
          <w:color w:val="000000"/>
          <w:sz w:val="24"/>
          <w:szCs w:val="24"/>
        </w:rPr>
        <w:t>根据相关主体签署的《</w:t>
      </w:r>
      <w:r w:rsidRPr="00721BB4">
        <w:rPr>
          <w:rFonts w:ascii="Times New Roman" w:eastAsia="宋体" w:hAnsi="Times New Roman" w:cs="Times New Roman" w:hint="eastAsia"/>
          <w:color w:val="000000"/>
          <w:sz w:val="24"/>
          <w:szCs w:val="24"/>
        </w:rPr>
        <w:t>大唐微电子技术有限公司增资协议之补充协议</w:t>
      </w:r>
      <w:r>
        <w:rPr>
          <w:rFonts w:ascii="Times New Roman" w:eastAsia="宋体" w:hAnsi="Times New Roman" w:cs="Times New Roman" w:hint="eastAsia"/>
          <w:color w:val="000000"/>
          <w:sz w:val="24"/>
          <w:szCs w:val="24"/>
        </w:rPr>
        <w:t>》，</w:t>
      </w:r>
      <w:r w:rsidR="00C64679">
        <w:rPr>
          <w:rFonts w:ascii="Times New Roman" w:hAnsi="Times New Roman" w:cs="Times New Roman" w:hint="eastAsia"/>
          <w:sz w:val="24"/>
        </w:rPr>
        <w:t>即使公司后续触发协议约定的特殊情形，国</w:t>
      </w:r>
      <w:proofErr w:type="gramStart"/>
      <w:r w:rsidR="00C64679">
        <w:rPr>
          <w:rFonts w:ascii="Times New Roman" w:hAnsi="Times New Roman" w:cs="Times New Roman" w:hint="eastAsia"/>
          <w:sz w:val="24"/>
        </w:rPr>
        <w:t>新建信</w:t>
      </w:r>
      <w:proofErr w:type="gramEnd"/>
      <w:r w:rsidR="00C64679">
        <w:rPr>
          <w:rFonts w:ascii="Times New Roman" w:hAnsi="Times New Roman" w:cs="Times New Roman" w:hint="eastAsia"/>
          <w:sz w:val="24"/>
        </w:rPr>
        <w:t>基金享有的分红股息率开始跳升并最终达到</w:t>
      </w:r>
      <w:r w:rsidR="00C64679">
        <w:rPr>
          <w:rFonts w:ascii="Times New Roman" w:hAnsi="Times New Roman" w:cs="Times New Roman" w:hint="eastAsia"/>
          <w:sz w:val="24"/>
        </w:rPr>
        <w:t>8%</w:t>
      </w:r>
      <w:r w:rsidR="00C64679">
        <w:rPr>
          <w:rFonts w:ascii="Times New Roman" w:hAnsi="Times New Roman" w:cs="Times New Roman" w:hint="eastAsia"/>
          <w:sz w:val="24"/>
        </w:rPr>
        <w:t>，公司亦可通过股东会决议形成不影响公司持续经营能力及经营性现金流的利润分配方案或不进行利润分配，且若</w:t>
      </w:r>
      <w:r w:rsidR="00C960C7">
        <w:rPr>
          <w:rFonts w:ascii="Times New Roman" w:hAnsi="Times New Roman" w:cs="Times New Roman" w:hint="eastAsia"/>
          <w:sz w:val="24"/>
        </w:rPr>
        <w:t>大唐微电子</w:t>
      </w:r>
      <w:r w:rsidR="00C64679">
        <w:rPr>
          <w:rFonts w:ascii="Times New Roman" w:hAnsi="Times New Roman" w:cs="Times New Roman" w:hint="eastAsia"/>
          <w:sz w:val="24"/>
        </w:rPr>
        <w:t>股东会最终未按协议约定的分红机制形成决议，任何一方并不构成违约。</w:t>
      </w:r>
    </w:p>
    <w:p w14:paraId="65201EC3" w14:textId="0449A97D"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出现上述情形时公司将通过上述机制尽量避免对大唐微电子未来的持续盈利能力、现金流产生不利影响，但可能出现无法及时收购或协调第三</w:t>
      </w:r>
      <w:proofErr w:type="gramStart"/>
      <w:r>
        <w:rPr>
          <w:rFonts w:ascii="Times New Roman" w:hAnsi="Times New Roman" w:cs="Times New Roman" w:hint="eastAsia"/>
          <w:sz w:val="24"/>
        </w:rPr>
        <w:t>方收购国新建信</w:t>
      </w:r>
      <w:proofErr w:type="gramEnd"/>
      <w:r>
        <w:rPr>
          <w:rFonts w:ascii="Times New Roman" w:hAnsi="Times New Roman" w:cs="Times New Roman" w:hint="eastAsia"/>
          <w:sz w:val="24"/>
        </w:rPr>
        <w:t>基金所持股权的情形，</w:t>
      </w:r>
      <w:bookmarkStart w:id="6" w:name="_Hlk76593644"/>
      <w:r>
        <w:rPr>
          <w:rFonts w:ascii="Times New Roman" w:hAnsi="Times New Roman" w:cs="Times New Roman" w:hint="eastAsia"/>
          <w:sz w:val="24"/>
        </w:rPr>
        <w:t>届时可能导致大唐微电子无法分红并对上市公司实施分红造成不利影响。公司已在重组报告书中补充提示相关风险。</w:t>
      </w:r>
      <w:bookmarkEnd w:id="6"/>
    </w:p>
    <w:p w14:paraId="1C490AF7"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lastRenderedPageBreak/>
        <w:t>综上所述，增资协议中对利润分配的相关安排并不会对大唐微电子未来的持续盈利能力、现金流产生不利影响。</w:t>
      </w:r>
    </w:p>
    <w:p w14:paraId="39365D54"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二、前述退出安排所涉及的投资期限、可回购期限，说明相关回购条款设置的合理性，并结合公司资金情况、现金流、经营业绩等，说明公司是否具备回购履约能力，如否，请充分提示风险</w:t>
      </w:r>
    </w:p>
    <w:p w14:paraId="75A730CF"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公司收集整理了公开可查案例信息，在目前资本市场市场化债转</w:t>
      </w:r>
      <w:proofErr w:type="gramStart"/>
      <w:r>
        <w:rPr>
          <w:rFonts w:ascii="Times New Roman" w:hAnsi="Times New Roman" w:cs="Times New Roman" w:hint="eastAsia"/>
          <w:sz w:val="24"/>
        </w:rPr>
        <w:t>股实践</w:t>
      </w:r>
      <w:proofErr w:type="gramEnd"/>
      <w:r>
        <w:rPr>
          <w:rFonts w:ascii="Times New Roman" w:hAnsi="Times New Roman" w:cs="Times New Roman" w:hint="eastAsia"/>
          <w:sz w:val="24"/>
        </w:rPr>
        <w:t>中，对于投资期限、可回购期限通常约定如下：</w:t>
      </w:r>
      <w:r>
        <w:rPr>
          <w:rFonts w:ascii="Times New Roman" w:hAnsi="Times New Roman" w:cs="Times New Roman" w:hint="eastAsia"/>
          <w:sz w:val="24"/>
        </w:rPr>
        <w:t xml:space="preserve"> </w:t>
      </w:r>
    </w:p>
    <w:tbl>
      <w:tblPr>
        <w:tblStyle w:val="ab"/>
        <w:tblW w:w="5000" w:type="pct"/>
        <w:tblLook w:val="04A0" w:firstRow="1" w:lastRow="0" w:firstColumn="1" w:lastColumn="0" w:noHBand="0" w:noVBand="1"/>
      </w:tblPr>
      <w:tblGrid>
        <w:gridCol w:w="2234"/>
        <w:gridCol w:w="3402"/>
        <w:gridCol w:w="2886"/>
      </w:tblGrid>
      <w:tr w:rsidR="00BD3166" w14:paraId="632DD6EC" w14:textId="77777777">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100" w:firstRow="0" w:lastRow="0" w:firstColumn="1" w:lastColumn="0" w:oddVBand="0" w:evenVBand="0" w:oddHBand="0" w:evenHBand="0" w:firstRowFirstColumn="1" w:firstRowLastColumn="0" w:lastRowFirstColumn="0" w:lastRowLastColumn="0"/>
            <w:tcW w:w="1311" w:type="pct"/>
            <w:vAlign w:val="center"/>
          </w:tcPr>
          <w:p w14:paraId="2A08787A" w14:textId="77777777" w:rsidR="00BD3166" w:rsidRDefault="00C64679">
            <w:pPr>
              <w:jc w:val="center"/>
              <w:rPr>
                <w:b/>
                <w:bCs/>
                <w:sz w:val="20"/>
                <w:szCs w:val="24"/>
              </w:rPr>
            </w:pPr>
            <w:r>
              <w:rPr>
                <w:rFonts w:hint="eastAsia"/>
                <w:b/>
                <w:bCs/>
                <w:sz w:val="20"/>
                <w:szCs w:val="24"/>
              </w:rPr>
              <w:t>公司名称</w:t>
            </w:r>
          </w:p>
        </w:tc>
        <w:tc>
          <w:tcPr>
            <w:tcW w:w="1996" w:type="pct"/>
            <w:vAlign w:val="center"/>
          </w:tcPr>
          <w:p w14:paraId="22029CCA" w14:textId="77777777" w:rsidR="00BD3166" w:rsidRDefault="00C64679">
            <w:pPr>
              <w:jc w:val="center"/>
              <w:cnfStyle w:val="100000000000" w:firstRow="1" w:lastRow="0" w:firstColumn="0" w:lastColumn="0" w:oddVBand="0" w:evenVBand="0" w:oddHBand="0" w:evenHBand="0" w:firstRowFirstColumn="0" w:firstRowLastColumn="0" w:lastRowFirstColumn="0" w:lastRowLastColumn="0"/>
              <w:rPr>
                <w:b/>
                <w:bCs/>
                <w:sz w:val="20"/>
                <w:szCs w:val="24"/>
              </w:rPr>
            </w:pPr>
            <w:r>
              <w:rPr>
                <w:rFonts w:hint="eastAsia"/>
                <w:b/>
                <w:bCs/>
                <w:sz w:val="20"/>
                <w:szCs w:val="24"/>
              </w:rPr>
              <w:t>投资期限</w:t>
            </w:r>
          </w:p>
        </w:tc>
        <w:tc>
          <w:tcPr>
            <w:tcW w:w="1693" w:type="pct"/>
            <w:vAlign w:val="center"/>
          </w:tcPr>
          <w:p w14:paraId="5945BB43" w14:textId="77777777" w:rsidR="00BD3166" w:rsidRDefault="00C64679">
            <w:pPr>
              <w:jc w:val="center"/>
              <w:cnfStyle w:val="100000000000" w:firstRow="1" w:lastRow="0" w:firstColumn="0" w:lastColumn="0" w:oddVBand="0" w:evenVBand="0" w:oddHBand="0" w:evenHBand="0" w:firstRowFirstColumn="0" w:firstRowLastColumn="0" w:lastRowFirstColumn="0" w:lastRowLastColumn="0"/>
              <w:rPr>
                <w:b/>
                <w:bCs/>
                <w:sz w:val="20"/>
                <w:szCs w:val="24"/>
              </w:rPr>
            </w:pPr>
            <w:r>
              <w:rPr>
                <w:rFonts w:hint="eastAsia"/>
                <w:b/>
                <w:bCs/>
                <w:sz w:val="20"/>
                <w:szCs w:val="24"/>
              </w:rPr>
              <w:t>可回购期限</w:t>
            </w:r>
          </w:p>
        </w:tc>
      </w:tr>
      <w:tr w:rsidR="00BD3166" w14:paraId="20E22993" w14:textId="77777777">
        <w:trPr>
          <w:trHeight w:val="397"/>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709B16EA" w14:textId="77777777" w:rsidR="00BD3166" w:rsidRDefault="00C64679">
            <w:pPr>
              <w:rPr>
                <w:sz w:val="20"/>
                <w:szCs w:val="24"/>
              </w:rPr>
            </w:pPr>
            <w:r>
              <w:rPr>
                <w:rFonts w:hint="eastAsia"/>
                <w:sz w:val="20"/>
                <w:szCs w:val="24"/>
              </w:rPr>
              <w:t>葛洲坝</w:t>
            </w:r>
          </w:p>
        </w:tc>
        <w:tc>
          <w:tcPr>
            <w:tcW w:w="1996" w:type="pct"/>
            <w:vAlign w:val="center"/>
          </w:tcPr>
          <w:p w14:paraId="08CB0087"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sz w:val="20"/>
                <w:szCs w:val="24"/>
              </w:rPr>
              <w:t>5+n</w:t>
            </w:r>
          </w:p>
        </w:tc>
        <w:tc>
          <w:tcPr>
            <w:tcW w:w="1693" w:type="pct"/>
            <w:vAlign w:val="center"/>
          </w:tcPr>
          <w:p w14:paraId="6EDFF5B6"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5</w:t>
            </w:r>
          </w:p>
        </w:tc>
      </w:tr>
      <w:tr w:rsidR="00BD3166" w14:paraId="062D2990" w14:textId="77777777">
        <w:trPr>
          <w:trHeight w:val="397"/>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1F61B9F5" w14:textId="77777777" w:rsidR="00BD3166" w:rsidRDefault="00C64679">
            <w:pPr>
              <w:rPr>
                <w:sz w:val="20"/>
                <w:szCs w:val="24"/>
              </w:rPr>
            </w:pPr>
            <w:r>
              <w:rPr>
                <w:rFonts w:hint="eastAsia"/>
                <w:sz w:val="20"/>
                <w:szCs w:val="24"/>
              </w:rPr>
              <w:t>龙建股份</w:t>
            </w:r>
          </w:p>
        </w:tc>
        <w:tc>
          <w:tcPr>
            <w:tcW w:w="1996" w:type="pct"/>
            <w:vAlign w:val="center"/>
          </w:tcPr>
          <w:p w14:paraId="03279F69"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sz w:val="20"/>
                <w:szCs w:val="24"/>
              </w:rPr>
              <w:t>3+n</w:t>
            </w:r>
          </w:p>
        </w:tc>
        <w:tc>
          <w:tcPr>
            <w:tcW w:w="1693" w:type="pct"/>
            <w:vAlign w:val="center"/>
          </w:tcPr>
          <w:p w14:paraId="221B237D"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3</w:t>
            </w:r>
          </w:p>
        </w:tc>
      </w:tr>
      <w:tr w:rsidR="00BD3166" w14:paraId="049BF95B" w14:textId="77777777">
        <w:trPr>
          <w:trHeight w:val="397"/>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0DA037CE" w14:textId="77777777" w:rsidR="00BD3166" w:rsidRDefault="00C64679">
            <w:pPr>
              <w:rPr>
                <w:sz w:val="20"/>
                <w:szCs w:val="24"/>
              </w:rPr>
            </w:pPr>
            <w:r>
              <w:rPr>
                <w:rFonts w:hint="eastAsia"/>
                <w:sz w:val="20"/>
                <w:szCs w:val="24"/>
              </w:rPr>
              <w:t>厦门象屿</w:t>
            </w:r>
          </w:p>
        </w:tc>
        <w:tc>
          <w:tcPr>
            <w:tcW w:w="1996" w:type="pct"/>
            <w:vAlign w:val="center"/>
          </w:tcPr>
          <w:p w14:paraId="5689A00B"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sz w:val="20"/>
                <w:szCs w:val="24"/>
              </w:rPr>
              <w:t>3+n</w:t>
            </w:r>
          </w:p>
        </w:tc>
        <w:tc>
          <w:tcPr>
            <w:tcW w:w="1693" w:type="pct"/>
            <w:vAlign w:val="center"/>
          </w:tcPr>
          <w:p w14:paraId="78CDA766"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3</w:t>
            </w:r>
          </w:p>
        </w:tc>
      </w:tr>
      <w:tr w:rsidR="00BD3166" w14:paraId="42388B9E" w14:textId="77777777">
        <w:trPr>
          <w:trHeight w:val="397"/>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6EB9D0ED" w14:textId="77777777" w:rsidR="00BD3166" w:rsidRDefault="00C64679">
            <w:pPr>
              <w:rPr>
                <w:sz w:val="20"/>
                <w:szCs w:val="24"/>
              </w:rPr>
            </w:pPr>
            <w:r>
              <w:rPr>
                <w:rFonts w:hint="eastAsia"/>
                <w:sz w:val="20"/>
                <w:szCs w:val="24"/>
              </w:rPr>
              <w:t>西部建设</w:t>
            </w:r>
          </w:p>
        </w:tc>
        <w:tc>
          <w:tcPr>
            <w:tcW w:w="1996" w:type="pct"/>
            <w:vAlign w:val="center"/>
          </w:tcPr>
          <w:p w14:paraId="69910F21"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sz w:val="20"/>
                <w:szCs w:val="24"/>
              </w:rPr>
              <w:t>3+n</w:t>
            </w:r>
          </w:p>
        </w:tc>
        <w:tc>
          <w:tcPr>
            <w:tcW w:w="1693" w:type="pct"/>
            <w:vAlign w:val="center"/>
          </w:tcPr>
          <w:p w14:paraId="7CFE48B7"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3</w:t>
            </w:r>
          </w:p>
        </w:tc>
      </w:tr>
      <w:tr w:rsidR="00BD3166" w14:paraId="2E4AEF54" w14:textId="77777777">
        <w:trPr>
          <w:trHeight w:val="397"/>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0E50FF0C" w14:textId="77777777" w:rsidR="00BD3166" w:rsidRDefault="00C64679">
            <w:pPr>
              <w:rPr>
                <w:sz w:val="20"/>
                <w:szCs w:val="24"/>
              </w:rPr>
            </w:pPr>
            <w:r>
              <w:rPr>
                <w:rFonts w:hint="eastAsia"/>
                <w:sz w:val="20"/>
                <w:szCs w:val="24"/>
              </w:rPr>
              <w:t>华北制药</w:t>
            </w:r>
          </w:p>
        </w:tc>
        <w:tc>
          <w:tcPr>
            <w:tcW w:w="1996" w:type="pct"/>
            <w:vAlign w:val="center"/>
          </w:tcPr>
          <w:p w14:paraId="5455303F"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sz w:val="20"/>
                <w:szCs w:val="24"/>
              </w:rPr>
              <w:t>5+n</w:t>
            </w:r>
          </w:p>
        </w:tc>
        <w:tc>
          <w:tcPr>
            <w:tcW w:w="1693" w:type="pct"/>
            <w:vAlign w:val="center"/>
          </w:tcPr>
          <w:p w14:paraId="6328C643"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5</w:t>
            </w:r>
          </w:p>
        </w:tc>
      </w:tr>
      <w:tr w:rsidR="00BD3166" w14:paraId="4521AACB" w14:textId="77777777">
        <w:trPr>
          <w:trHeight w:val="397"/>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0BCC2E14" w14:textId="77777777" w:rsidR="00BD3166" w:rsidRDefault="00C64679">
            <w:pPr>
              <w:rPr>
                <w:sz w:val="20"/>
                <w:szCs w:val="24"/>
              </w:rPr>
            </w:pPr>
            <w:r>
              <w:rPr>
                <w:rFonts w:hint="eastAsia"/>
                <w:sz w:val="20"/>
                <w:szCs w:val="24"/>
              </w:rPr>
              <w:t>福日电子</w:t>
            </w:r>
          </w:p>
        </w:tc>
        <w:tc>
          <w:tcPr>
            <w:tcW w:w="1996" w:type="pct"/>
            <w:vAlign w:val="center"/>
          </w:tcPr>
          <w:p w14:paraId="33107076"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sz w:val="20"/>
                <w:szCs w:val="24"/>
              </w:rPr>
              <w:t>3+n</w:t>
            </w:r>
          </w:p>
        </w:tc>
        <w:tc>
          <w:tcPr>
            <w:tcW w:w="1693" w:type="pct"/>
            <w:vAlign w:val="center"/>
          </w:tcPr>
          <w:p w14:paraId="18B72561"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3</w:t>
            </w:r>
          </w:p>
        </w:tc>
      </w:tr>
      <w:tr w:rsidR="00BD3166" w14:paraId="5596F2B5" w14:textId="77777777">
        <w:trPr>
          <w:trHeight w:val="397"/>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37A1FC32" w14:textId="77777777" w:rsidR="00BD3166" w:rsidRDefault="00C64679">
            <w:pPr>
              <w:rPr>
                <w:sz w:val="20"/>
                <w:szCs w:val="24"/>
              </w:rPr>
            </w:pPr>
            <w:r>
              <w:rPr>
                <w:rFonts w:hint="eastAsia"/>
                <w:sz w:val="20"/>
                <w:szCs w:val="24"/>
              </w:rPr>
              <w:t>兴发集团</w:t>
            </w:r>
          </w:p>
        </w:tc>
        <w:tc>
          <w:tcPr>
            <w:tcW w:w="1996" w:type="pct"/>
            <w:vAlign w:val="center"/>
          </w:tcPr>
          <w:p w14:paraId="5C54EAD2"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2"/>
              </w:rPr>
              <w:t>5+n</w:t>
            </w:r>
          </w:p>
        </w:tc>
        <w:tc>
          <w:tcPr>
            <w:tcW w:w="1693" w:type="pct"/>
            <w:vAlign w:val="center"/>
          </w:tcPr>
          <w:p w14:paraId="40C16044"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5</w:t>
            </w:r>
          </w:p>
        </w:tc>
      </w:tr>
      <w:tr w:rsidR="00BD3166" w14:paraId="2A436A67" w14:textId="77777777">
        <w:trPr>
          <w:trHeight w:val="397"/>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1AE9FA13" w14:textId="77777777" w:rsidR="00BD3166" w:rsidRDefault="00C64679">
            <w:pPr>
              <w:rPr>
                <w:sz w:val="20"/>
                <w:szCs w:val="24"/>
              </w:rPr>
            </w:pPr>
            <w:r>
              <w:rPr>
                <w:rFonts w:hint="eastAsia"/>
                <w:sz w:val="20"/>
                <w:szCs w:val="24"/>
              </w:rPr>
              <w:t>云天化</w:t>
            </w:r>
          </w:p>
        </w:tc>
        <w:tc>
          <w:tcPr>
            <w:tcW w:w="1996" w:type="pct"/>
            <w:vAlign w:val="center"/>
          </w:tcPr>
          <w:p w14:paraId="1D2B6918"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sz w:val="20"/>
                <w:szCs w:val="24"/>
              </w:rPr>
              <w:t>3+n</w:t>
            </w:r>
          </w:p>
        </w:tc>
        <w:tc>
          <w:tcPr>
            <w:tcW w:w="1693" w:type="pct"/>
            <w:vAlign w:val="center"/>
          </w:tcPr>
          <w:p w14:paraId="256B8E6B" w14:textId="77777777" w:rsidR="00BD3166" w:rsidRDefault="00C64679">
            <w:pPr>
              <w:jc w:val="center"/>
              <w:cnfStyle w:val="000000000000" w:firstRow="0" w:lastRow="0" w:firstColumn="0" w:lastColumn="0" w:oddVBand="0" w:evenVBand="0" w:oddHBand="0" w:evenHBand="0" w:firstRowFirstColumn="0" w:firstRowLastColumn="0" w:lastRowFirstColumn="0" w:lastRowLastColumn="0"/>
              <w:rPr>
                <w:sz w:val="20"/>
                <w:szCs w:val="24"/>
              </w:rPr>
            </w:pPr>
            <w:r>
              <w:rPr>
                <w:rFonts w:hint="eastAsia"/>
                <w:sz w:val="20"/>
                <w:szCs w:val="24"/>
              </w:rPr>
              <w:t>3</w:t>
            </w:r>
          </w:p>
        </w:tc>
      </w:tr>
    </w:tbl>
    <w:p w14:paraId="7755A87D"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本次交易中，《增资协议》约定了两种退出安排：</w:t>
      </w:r>
    </w:p>
    <w:p w14:paraId="2C2DB0A8"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hint="eastAsia"/>
          <w:b/>
          <w:sz w:val="24"/>
        </w:rPr>
        <w:t>方式</w:t>
      </w:r>
      <w:proofErr w:type="gramStart"/>
      <w:r>
        <w:rPr>
          <w:rFonts w:ascii="Times New Roman" w:hAnsi="Times New Roman" w:cs="Times New Roman" w:hint="eastAsia"/>
          <w:b/>
          <w:sz w:val="24"/>
        </w:rPr>
        <w:t>一</w:t>
      </w:r>
      <w:proofErr w:type="gramEnd"/>
      <w:r>
        <w:rPr>
          <w:rFonts w:ascii="Times New Roman" w:hAnsi="Times New Roman" w:cs="Times New Roman" w:hint="eastAsia"/>
          <w:b/>
          <w:sz w:val="24"/>
        </w:rPr>
        <w:t xml:space="preserve">  </w:t>
      </w:r>
      <w:r>
        <w:rPr>
          <w:rFonts w:ascii="Times New Roman" w:hAnsi="Times New Roman" w:cs="Times New Roman" w:hint="eastAsia"/>
          <w:b/>
          <w:sz w:val="24"/>
        </w:rPr>
        <w:t>股权置换退出</w:t>
      </w:r>
    </w:p>
    <w:p w14:paraId="6FDEF093"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自增资款到位后</w:t>
      </w:r>
      <w:r>
        <w:rPr>
          <w:rFonts w:ascii="Times New Roman" w:hAnsi="Times New Roman" w:cs="Times New Roman" w:hint="eastAsia"/>
          <w:sz w:val="24"/>
        </w:rPr>
        <w:t>5</w:t>
      </w:r>
      <w:r>
        <w:rPr>
          <w:rFonts w:ascii="Times New Roman" w:hAnsi="Times New Roman" w:cs="Times New Roman" w:hint="eastAsia"/>
          <w:sz w:val="24"/>
        </w:rPr>
        <w:t>年内，经双方协商一致后可由上市公司发行股份购买国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基金所持股权。</w:t>
      </w:r>
    </w:p>
    <w:p w14:paraId="56C0258C"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hint="eastAsia"/>
          <w:b/>
          <w:sz w:val="24"/>
        </w:rPr>
        <w:t>方式二</w:t>
      </w:r>
      <w:r>
        <w:rPr>
          <w:rFonts w:ascii="Times New Roman" w:hAnsi="Times New Roman" w:cs="Times New Roman" w:hint="eastAsia"/>
          <w:b/>
          <w:sz w:val="24"/>
        </w:rPr>
        <w:t xml:space="preserve">  </w:t>
      </w:r>
      <w:r>
        <w:rPr>
          <w:rFonts w:ascii="Times New Roman" w:hAnsi="Times New Roman" w:cs="Times New Roman" w:hint="eastAsia"/>
          <w:b/>
          <w:sz w:val="24"/>
        </w:rPr>
        <w:t>触发特殊情形后的退出</w:t>
      </w:r>
    </w:p>
    <w:p w14:paraId="246D464D"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一旦触发增资协议约定的</w:t>
      </w:r>
      <w:r>
        <w:rPr>
          <w:rFonts w:ascii="Times New Roman" w:hAnsi="Times New Roman" w:cs="Times New Roman" w:hint="eastAsia"/>
          <w:sz w:val="24"/>
        </w:rPr>
        <w:t>12</w:t>
      </w:r>
      <w:r>
        <w:rPr>
          <w:rFonts w:ascii="Times New Roman" w:hAnsi="Times New Roman" w:cs="Times New Roman" w:hint="eastAsia"/>
          <w:sz w:val="24"/>
        </w:rPr>
        <w:t>条特殊情形后，上市公司及大唐半导体可选择由自身或“协调第三方”在国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基金发出通知后</w:t>
      </w:r>
      <w:r>
        <w:rPr>
          <w:rFonts w:ascii="Times New Roman" w:hAnsi="Times New Roman" w:cs="Times New Roman" w:hint="eastAsia"/>
          <w:sz w:val="24"/>
        </w:rPr>
        <w:t>120</w:t>
      </w:r>
      <w:r>
        <w:rPr>
          <w:rFonts w:ascii="Times New Roman" w:hAnsi="Times New Roman" w:cs="Times New Roman" w:hint="eastAsia"/>
          <w:sz w:val="24"/>
        </w:rPr>
        <w:t>日内收购其持有大唐微电子的股权，若在国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基金发出通知后</w:t>
      </w:r>
      <w:r>
        <w:rPr>
          <w:rFonts w:ascii="Times New Roman" w:hAnsi="Times New Roman" w:cs="Times New Roman" w:hint="eastAsia"/>
          <w:sz w:val="24"/>
        </w:rPr>
        <w:t>120</w:t>
      </w:r>
      <w:r>
        <w:rPr>
          <w:rFonts w:ascii="Times New Roman" w:hAnsi="Times New Roman" w:cs="Times New Roman" w:hint="eastAsia"/>
          <w:sz w:val="24"/>
        </w:rPr>
        <w:t>日内未能完成其股权退出且逾期超过</w:t>
      </w:r>
      <w:r>
        <w:rPr>
          <w:rFonts w:ascii="Times New Roman" w:hAnsi="Times New Roman" w:cs="Times New Roman" w:hint="eastAsia"/>
          <w:sz w:val="24"/>
        </w:rPr>
        <w:t>3</w:t>
      </w:r>
      <w:r>
        <w:rPr>
          <w:rFonts w:ascii="Times New Roman" w:hAnsi="Times New Roman" w:cs="Times New Roman"/>
          <w:sz w:val="24"/>
        </w:rPr>
        <w:t>0</w:t>
      </w:r>
      <w:r>
        <w:rPr>
          <w:rFonts w:ascii="Times New Roman" w:hAnsi="Times New Roman" w:cs="Times New Roman" w:hint="eastAsia"/>
          <w:sz w:val="24"/>
        </w:rPr>
        <w:t>日，国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基金可进一步享有利率跳升或自主选择对外转让股权等条款。</w:t>
      </w:r>
    </w:p>
    <w:p w14:paraId="0F2EB4AB"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具体期限如下：</w:t>
      </w:r>
    </w:p>
    <w:p w14:paraId="0DD5BC8C" w14:textId="77777777" w:rsidR="00BD3166" w:rsidRDefault="00C64679">
      <w:pPr>
        <w:spacing w:line="360" w:lineRule="auto"/>
        <w:rPr>
          <w:rFonts w:ascii="Times New Roman" w:hAnsi="Times New Roman" w:cs="Times New Roman"/>
          <w:sz w:val="24"/>
        </w:rPr>
      </w:pPr>
      <w:r>
        <w:rPr>
          <w:noProof/>
        </w:rPr>
        <w:lastRenderedPageBreak/>
        <w:drawing>
          <wp:inline distT="0" distB="0" distL="0" distR="0" wp14:anchorId="2D20B1AA" wp14:editId="5A4C8C71">
            <wp:extent cx="5274310" cy="13963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1396715"/>
                    </a:xfrm>
                    <a:prstGeom prst="rect">
                      <a:avLst/>
                    </a:prstGeom>
                  </pic:spPr>
                </pic:pic>
              </a:graphicData>
            </a:graphic>
          </wp:inline>
        </w:drawing>
      </w:r>
    </w:p>
    <w:p w14:paraId="5BAEF1B8"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因此，根据双方签署的增资协议及合作协议，协议条款中虽约定了</w:t>
      </w:r>
      <w:r>
        <w:rPr>
          <w:rFonts w:ascii="Times New Roman" w:hAnsi="Times New Roman" w:cs="Times New Roman" w:hint="eastAsia"/>
          <w:sz w:val="24"/>
        </w:rPr>
        <w:t>5</w:t>
      </w:r>
      <w:r>
        <w:rPr>
          <w:rFonts w:ascii="Times New Roman" w:hAnsi="Times New Roman" w:cs="Times New Roman" w:hint="eastAsia"/>
          <w:sz w:val="24"/>
        </w:rPr>
        <w:t>年的投资期限，但此期限仅为双方协商达成一致后通过股权置换退出投资的期限。因此，公司本次交易的投资期限实质属于“</w:t>
      </w:r>
      <w:r>
        <w:rPr>
          <w:rFonts w:ascii="Times New Roman" w:hAnsi="Times New Roman" w:cs="Times New Roman" w:hint="eastAsia"/>
          <w:sz w:val="24"/>
        </w:rPr>
        <w:t>5+n</w:t>
      </w:r>
      <w:r>
        <w:rPr>
          <w:rFonts w:ascii="Times New Roman" w:hAnsi="Times New Roman" w:cs="Times New Roman" w:hint="eastAsia"/>
          <w:sz w:val="24"/>
        </w:rPr>
        <w:t>”类。同时，结合上述两种退出安排，公司并无必须回购国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基金所持股权的义务。</w:t>
      </w:r>
    </w:p>
    <w:p w14:paraId="617BF5C9" w14:textId="0086EEA2"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上述两种退出安排模式中，第一种退出安排由于不涉及支付现金，因此对公司资金情况、现金流、经营业绩并无影响。第二种退出安排下，若后续公司资金充裕，经营业绩优秀，公司治理层将在充分考虑回购对于现金流、经营业绩影响的基础上做出回购决策，并按规定履行上市公司决策程序。若后续公司自身无回购能力，可协调第三</w:t>
      </w:r>
      <w:proofErr w:type="gramStart"/>
      <w:r>
        <w:rPr>
          <w:rFonts w:ascii="Times New Roman" w:hAnsi="Times New Roman" w:cs="Times New Roman" w:hint="eastAsia"/>
          <w:sz w:val="24"/>
        </w:rPr>
        <w:t>方收购</w:t>
      </w:r>
      <w:proofErr w:type="gramEnd"/>
      <w:r>
        <w:rPr>
          <w:rFonts w:ascii="Times New Roman" w:hAnsi="Times New Roman" w:cs="Times New Roman" w:hint="eastAsia"/>
          <w:sz w:val="24"/>
        </w:rPr>
        <w:t>或选择不回购国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基金所持大唐微电子股权。即使公司未能配合完成国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基金的股权退出工作，国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基金享有的分红股息率开始跳升并最终达到</w:t>
      </w:r>
      <w:r>
        <w:rPr>
          <w:rFonts w:ascii="Times New Roman" w:hAnsi="Times New Roman" w:cs="Times New Roman"/>
          <w:sz w:val="24"/>
        </w:rPr>
        <w:t>8</w:t>
      </w:r>
      <w:r>
        <w:rPr>
          <w:rFonts w:ascii="Times New Roman" w:hAnsi="Times New Roman" w:cs="Times New Roman" w:hint="eastAsia"/>
          <w:sz w:val="24"/>
        </w:rPr>
        <w:t>%</w:t>
      </w:r>
      <w:r>
        <w:rPr>
          <w:rFonts w:ascii="Times New Roman" w:hAnsi="Times New Roman" w:cs="Times New Roman" w:hint="eastAsia"/>
          <w:sz w:val="24"/>
        </w:rPr>
        <w:t>，公司亦可通过股东会决议形成不影响公司持续经营能力及经营性现金流的利润分配方案或不进行利润分配，且若</w:t>
      </w:r>
      <w:r w:rsidR="00C960C7">
        <w:rPr>
          <w:rFonts w:ascii="Times New Roman" w:hAnsi="Times New Roman" w:cs="Times New Roman" w:hint="eastAsia"/>
          <w:sz w:val="24"/>
        </w:rPr>
        <w:t>大唐微电子</w:t>
      </w:r>
      <w:r>
        <w:rPr>
          <w:rFonts w:ascii="Times New Roman" w:hAnsi="Times New Roman" w:cs="Times New Roman" w:hint="eastAsia"/>
          <w:sz w:val="24"/>
        </w:rPr>
        <w:t>股东会最终未按协议约定的分红机制形成决议，任何一方并不构成违约。</w:t>
      </w:r>
    </w:p>
    <w:p w14:paraId="6B9106F8"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出现上述情形时公司将通过上述机制尽量避免在不利情形下回购股权，在公司不回购股权时，可能出现无法及时与投资者就分红事宜协商一致，或无法及时收购或协调第三</w:t>
      </w:r>
      <w:proofErr w:type="gramStart"/>
      <w:r>
        <w:rPr>
          <w:rFonts w:ascii="Times New Roman" w:hAnsi="Times New Roman" w:cs="Times New Roman" w:hint="eastAsia"/>
          <w:sz w:val="24"/>
        </w:rPr>
        <w:t>方收购国新建信</w:t>
      </w:r>
      <w:proofErr w:type="gramEnd"/>
      <w:r>
        <w:rPr>
          <w:rFonts w:ascii="Times New Roman" w:hAnsi="Times New Roman" w:cs="Times New Roman" w:hint="eastAsia"/>
          <w:sz w:val="24"/>
        </w:rPr>
        <w:t>基金所持股权的情形，届时可能导致大唐微电子无法分红并对上市公司实施分红造成不利影响。公司已在重组报告书中补充提示相关风险。</w:t>
      </w:r>
    </w:p>
    <w:p w14:paraId="35C547F6"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三、说明回购履约是否将对公司现金流、持续盈利能力产生不利影响，相关条款设置是否有损于上市公司利益</w:t>
      </w:r>
    </w:p>
    <w:p w14:paraId="6C66898C" w14:textId="3DCB3DE1"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如上文所述，《增资协议》约定了两种退出安排：一是自增资款到位后</w:t>
      </w:r>
      <w:r>
        <w:rPr>
          <w:rFonts w:ascii="Times New Roman" w:hAnsi="Times New Roman" w:cs="Times New Roman" w:hint="eastAsia"/>
          <w:sz w:val="24"/>
        </w:rPr>
        <w:t>5</w:t>
      </w:r>
      <w:r>
        <w:rPr>
          <w:rFonts w:ascii="Times New Roman" w:hAnsi="Times New Roman" w:cs="Times New Roman" w:hint="eastAsia"/>
          <w:sz w:val="24"/>
        </w:rPr>
        <w:t>年内，经双方协商一致后可由上市公司发行股份购买国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基金所持股权；二是特殊情形触发后，上市公司及大唐半导体可选择由自身或“协调第三方”在国</w:t>
      </w:r>
      <w:proofErr w:type="gramStart"/>
      <w:r>
        <w:rPr>
          <w:rFonts w:ascii="Times New Roman" w:hAnsi="Times New Roman" w:cs="Times New Roman" w:hint="eastAsia"/>
          <w:sz w:val="24"/>
        </w:rPr>
        <w:t>新</w:t>
      </w:r>
      <w:r>
        <w:rPr>
          <w:rFonts w:ascii="Times New Roman" w:hAnsi="Times New Roman" w:cs="Times New Roman" w:hint="eastAsia"/>
          <w:sz w:val="24"/>
        </w:rPr>
        <w:lastRenderedPageBreak/>
        <w:t>建信</w:t>
      </w:r>
      <w:proofErr w:type="gramEnd"/>
      <w:r>
        <w:rPr>
          <w:rFonts w:ascii="Times New Roman" w:hAnsi="Times New Roman" w:cs="Times New Roman" w:hint="eastAsia"/>
          <w:sz w:val="24"/>
        </w:rPr>
        <w:t>基金发出通知后</w:t>
      </w:r>
      <w:r>
        <w:rPr>
          <w:rFonts w:ascii="Times New Roman" w:hAnsi="Times New Roman" w:cs="Times New Roman" w:hint="eastAsia"/>
          <w:sz w:val="24"/>
        </w:rPr>
        <w:t>120</w:t>
      </w:r>
      <w:r>
        <w:rPr>
          <w:rFonts w:ascii="Times New Roman" w:hAnsi="Times New Roman" w:cs="Times New Roman" w:hint="eastAsia"/>
          <w:sz w:val="24"/>
        </w:rPr>
        <w:t>日内收购其持有大唐微电子的股权，若在国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基金发出通知后</w:t>
      </w:r>
      <w:r>
        <w:rPr>
          <w:rFonts w:ascii="Times New Roman" w:hAnsi="Times New Roman" w:cs="Times New Roman" w:hint="eastAsia"/>
          <w:sz w:val="24"/>
        </w:rPr>
        <w:t>120</w:t>
      </w:r>
      <w:r>
        <w:rPr>
          <w:rFonts w:ascii="Times New Roman" w:hAnsi="Times New Roman" w:cs="Times New Roman" w:hint="eastAsia"/>
          <w:sz w:val="24"/>
        </w:rPr>
        <w:t>日内未能完成其股权退出且逾期超过</w:t>
      </w:r>
      <w:r>
        <w:rPr>
          <w:rFonts w:ascii="Times New Roman" w:hAnsi="Times New Roman" w:cs="Times New Roman" w:hint="eastAsia"/>
          <w:sz w:val="24"/>
        </w:rPr>
        <w:t>3</w:t>
      </w:r>
      <w:r>
        <w:rPr>
          <w:rFonts w:ascii="Times New Roman" w:hAnsi="Times New Roman" w:cs="Times New Roman"/>
          <w:sz w:val="24"/>
        </w:rPr>
        <w:t>0</w:t>
      </w:r>
      <w:r>
        <w:rPr>
          <w:rFonts w:ascii="Times New Roman" w:hAnsi="Times New Roman" w:cs="Times New Roman" w:hint="eastAsia"/>
          <w:sz w:val="24"/>
        </w:rPr>
        <w:t>日，国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基金可进一步享有利率跳升或自主选择对外转让股权等条款，公司并无必须回购国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基金所持股权的义务。因此，公司可在回购国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基金所持股权不会对公司现金流、持续盈利能力产生不利影响时选择回购，反之公司可协调第三</w:t>
      </w:r>
      <w:proofErr w:type="gramStart"/>
      <w:r>
        <w:rPr>
          <w:rFonts w:ascii="Times New Roman" w:hAnsi="Times New Roman" w:cs="Times New Roman" w:hint="eastAsia"/>
          <w:sz w:val="24"/>
        </w:rPr>
        <w:t>方收购</w:t>
      </w:r>
      <w:proofErr w:type="gramEnd"/>
      <w:r>
        <w:rPr>
          <w:rFonts w:ascii="Times New Roman" w:hAnsi="Times New Roman" w:cs="Times New Roman" w:hint="eastAsia"/>
          <w:sz w:val="24"/>
        </w:rPr>
        <w:t>或选择不回购。即使公司未能配合完成国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基金的股权退出工作，国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基金享有的分红股息率开始跳升并最终达到</w:t>
      </w:r>
      <w:r>
        <w:rPr>
          <w:rFonts w:ascii="Times New Roman" w:hAnsi="Times New Roman" w:cs="Times New Roman" w:hint="eastAsia"/>
          <w:sz w:val="24"/>
        </w:rPr>
        <w:t>8%</w:t>
      </w:r>
      <w:r>
        <w:rPr>
          <w:rFonts w:ascii="Times New Roman" w:hAnsi="Times New Roman" w:cs="Times New Roman" w:hint="eastAsia"/>
          <w:sz w:val="24"/>
        </w:rPr>
        <w:t>，公司亦可通过股东会决议形成不影响公司持续经营能力及经营性现金流的利润分配方案或不进行利润分配。</w:t>
      </w:r>
    </w:p>
    <w:p w14:paraId="34B7B041"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四、结合问题（</w:t>
      </w:r>
      <w:r>
        <w:rPr>
          <w:rFonts w:ascii="Times New Roman" w:eastAsia="宋体" w:hAnsi="Times New Roman" w:cs="Times New Roman" w:hint="eastAsia"/>
          <w:b/>
          <w:bCs/>
          <w:color w:val="000000"/>
          <w:sz w:val="24"/>
          <w:szCs w:val="24"/>
        </w:rPr>
        <w:t>1</w:t>
      </w:r>
      <w:r>
        <w:rPr>
          <w:rFonts w:ascii="Times New Roman" w:eastAsia="宋体" w:hAnsi="Times New Roman" w:cs="Times New Roman" w:hint="eastAsia"/>
          <w:b/>
          <w:bCs/>
          <w:color w:val="000000"/>
          <w:sz w:val="24"/>
          <w:szCs w:val="24"/>
        </w:rPr>
        <w:t>）</w:t>
      </w:r>
      <w:r>
        <w:rPr>
          <w:rFonts w:ascii="Times New Roman" w:eastAsia="宋体" w:hAnsi="Times New Roman" w:cs="Times New Roman" w:hint="eastAsia"/>
          <w:b/>
          <w:bCs/>
          <w:color w:val="000000"/>
          <w:sz w:val="24"/>
          <w:szCs w:val="24"/>
        </w:rPr>
        <w:t>-</w:t>
      </w:r>
      <w:r>
        <w:rPr>
          <w:rFonts w:ascii="Times New Roman" w:eastAsia="宋体" w:hAnsi="Times New Roman" w:cs="Times New Roman" w:hint="eastAsia"/>
          <w:b/>
          <w:bCs/>
          <w:color w:val="000000"/>
          <w:sz w:val="24"/>
          <w:szCs w:val="24"/>
        </w:rPr>
        <w:t>（</w:t>
      </w:r>
      <w:r>
        <w:rPr>
          <w:rFonts w:ascii="Times New Roman" w:eastAsia="宋体" w:hAnsi="Times New Roman" w:cs="Times New Roman" w:hint="eastAsia"/>
          <w:b/>
          <w:bCs/>
          <w:color w:val="000000"/>
          <w:sz w:val="24"/>
          <w:szCs w:val="24"/>
        </w:rPr>
        <w:t>3</w:t>
      </w:r>
      <w:r>
        <w:rPr>
          <w:rFonts w:ascii="Times New Roman" w:eastAsia="宋体" w:hAnsi="Times New Roman" w:cs="Times New Roman" w:hint="eastAsia"/>
          <w:b/>
          <w:bCs/>
          <w:color w:val="000000"/>
          <w:sz w:val="24"/>
          <w:szCs w:val="24"/>
        </w:rPr>
        <w:t>），说明本次增资安排是否构成“明股实债”情形，说明本次增资的会计分类、会计处理及依据，并结合到期日、清偿顺序、利率跳升等安排，说明公司是否能无条件地避免交付现金或其他金融资产的合同义务，相关会计处理是否符合会计准则规定</w:t>
      </w:r>
    </w:p>
    <w:p w14:paraId="05F172C7"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（一）结合问题（</w:t>
      </w:r>
      <w:r>
        <w:rPr>
          <w:rFonts w:ascii="Times New Roman" w:eastAsia="宋体" w:hAnsi="Times New Roman" w:cs="Times New Roman" w:hint="eastAsia"/>
          <w:b/>
          <w:bCs/>
          <w:color w:val="000000"/>
          <w:sz w:val="24"/>
          <w:szCs w:val="24"/>
        </w:rPr>
        <w:t>1</w:t>
      </w:r>
      <w:r>
        <w:rPr>
          <w:rFonts w:ascii="Times New Roman" w:eastAsia="宋体" w:hAnsi="Times New Roman" w:cs="Times New Roman" w:hint="eastAsia"/>
          <w:b/>
          <w:bCs/>
          <w:color w:val="000000"/>
          <w:sz w:val="24"/>
          <w:szCs w:val="24"/>
        </w:rPr>
        <w:t>）</w:t>
      </w:r>
      <w:r>
        <w:rPr>
          <w:rFonts w:ascii="Times New Roman" w:eastAsia="宋体" w:hAnsi="Times New Roman" w:cs="Times New Roman" w:hint="eastAsia"/>
          <w:b/>
          <w:bCs/>
          <w:color w:val="000000"/>
          <w:sz w:val="24"/>
          <w:szCs w:val="24"/>
        </w:rPr>
        <w:t>-</w:t>
      </w:r>
      <w:r>
        <w:rPr>
          <w:rFonts w:ascii="Times New Roman" w:eastAsia="宋体" w:hAnsi="Times New Roman" w:cs="Times New Roman" w:hint="eastAsia"/>
          <w:b/>
          <w:bCs/>
          <w:color w:val="000000"/>
          <w:sz w:val="24"/>
          <w:szCs w:val="24"/>
        </w:rPr>
        <w:t>（</w:t>
      </w:r>
      <w:r>
        <w:rPr>
          <w:rFonts w:ascii="Times New Roman" w:eastAsia="宋体" w:hAnsi="Times New Roman" w:cs="Times New Roman" w:hint="eastAsia"/>
          <w:b/>
          <w:bCs/>
          <w:color w:val="000000"/>
          <w:sz w:val="24"/>
          <w:szCs w:val="24"/>
        </w:rPr>
        <w:t>3</w:t>
      </w:r>
      <w:r>
        <w:rPr>
          <w:rFonts w:ascii="Times New Roman" w:eastAsia="宋体" w:hAnsi="Times New Roman" w:cs="Times New Roman" w:hint="eastAsia"/>
          <w:b/>
          <w:bCs/>
          <w:color w:val="000000"/>
          <w:sz w:val="24"/>
          <w:szCs w:val="24"/>
        </w:rPr>
        <w:t>），说明</w:t>
      </w:r>
      <w:bookmarkStart w:id="7" w:name="_Hlk76309420"/>
      <w:r>
        <w:rPr>
          <w:rFonts w:ascii="Times New Roman" w:eastAsia="宋体" w:hAnsi="Times New Roman" w:cs="Times New Roman" w:hint="eastAsia"/>
          <w:b/>
          <w:bCs/>
          <w:color w:val="000000"/>
          <w:sz w:val="24"/>
          <w:szCs w:val="24"/>
        </w:rPr>
        <w:t>本次增资安排是否构成“明股实债”情形</w:t>
      </w:r>
      <w:bookmarkEnd w:id="7"/>
      <w:r>
        <w:rPr>
          <w:rFonts w:ascii="Times New Roman" w:eastAsia="宋体" w:hAnsi="Times New Roman" w:cs="Times New Roman" w:hint="eastAsia"/>
          <w:b/>
          <w:bCs/>
          <w:color w:val="000000"/>
          <w:sz w:val="24"/>
          <w:szCs w:val="24"/>
        </w:rPr>
        <w:t>，说明本次增资的会计分类、会计处理及依据</w:t>
      </w:r>
    </w:p>
    <w:p w14:paraId="1ACCE282" w14:textId="77777777" w:rsidR="00BD3166" w:rsidRDefault="00C64679">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1</w:t>
      </w:r>
      <w:r>
        <w:rPr>
          <w:rFonts w:ascii="Times New Roman" w:hAnsi="Times New Roman" w:cs="Times New Roman" w:hint="eastAsia"/>
          <w:b/>
          <w:bCs/>
          <w:sz w:val="24"/>
        </w:rPr>
        <w:t>、本次增资属于市场化债转股</w:t>
      </w:r>
    </w:p>
    <w:p w14:paraId="411A6121"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根据《国务院关于积极稳妥降低企业杠杆率的意见（国发〔</w:t>
      </w:r>
      <w:r>
        <w:rPr>
          <w:rFonts w:ascii="Times New Roman" w:hAnsi="Times New Roman" w:cs="Times New Roman" w:hint="eastAsia"/>
          <w:sz w:val="24"/>
        </w:rPr>
        <w:t>2016</w:t>
      </w:r>
      <w:r>
        <w:rPr>
          <w:rFonts w:ascii="Times New Roman" w:hAnsi="Times New Roman" w:cs="Times New Roman" w:hint="eastAsia"/>
          <w:sz w:val="24"/>
        </w:rPr>
        <w:t>〕</w:t>
      </w:r>
      <w:r>
        <w:rPr>
          <w:rFonts w:ascii="Times New Roman" w:hAnsi="Times New Roman" w:cs="Times New Roman" w:hint="eastAsia"/>
          <w:sz w:val="24"/>
        </w:rPr>
        <w:t>54</w:t>
      </w:r>
      <w:r>
        <w:rPr>
          <w:rFonts w:ascii="Times New Roman" w:hAnsi="Times New Roman" w:cs="Times New Roman" w:hint="eastAsia"/>
          <w:sz w:val="24"/>
        </w:rPr>
        <w:t>号）》及配套政策，市场化债转股遵循市场化、法治化的原则，由银行、实施机构和企业依据国家政策导向自主协商确定转股对象、转股债权以及转股价格和条件，实施机构市场化筹集债转股所需资金，并多渠道、多方式实现股权市场化退出，可以通过发股还债的形式实施。大唐电信本次增资属于市场化债转股，具体如下：</w:t>
      </w:r>
    </w:p>
    <w:p w14:paraId="2C0D08E7" w14:textId="77777777" w:rsidR="00BD3166" w:rsidRDefault="00C64679">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w:t>
      </w:r>
      <w:r>
        <w:rPr>
          <w:rFonts w:ascii="Times New Roman" w:hAnsi="Times New Roman" w:cs="Times New Roman" w:hint="eastAsia"/>
          <w:b/>
          <w:bCs/>
          <w:sz w:val="24"/>
        </w:rPr>
        <w:t>1</w:t>
      </w:r>
      <w:r>
        <w:rPr>
          <w:rFonts w:ascii="Times New Roman" w:hAnsi="Times New Roman" w:cs="Times New Roman" w:hint="eastAsia"/>
          <w:b/>
          <w:bCs/>
          <w:sz w:val="24"/>
        </w:rPr>
        <w:t>）符合</w:t>
      </w:r>
      <w:r>
        <w:rPr>
          <w:rFonts w:ascii="Times New Roman" w:hAnsi="Times New Roman" w:cs="Times New Roman" w:hint="eastAsia"/>
          <w:b/>
          <w:bCs/>
          <w:sz w:val="24"/>
        </w:rPr>
        <w:t>54</w:t>
      </w:r>
      <w:r>
        <w:rPr>
          <w:rFonts w:ascii="Times New Roman" w:hAnsi="Times New Roman" w:cs="Times New Roman" w:hint="eastAsia"/>
          <w:b/>
          <w:bCs/>
          <w:sz w:val="24"/>
        </w:rPr>
        <w:t>号文附件《关于市场化银行债权转股权的指导意见》相关规定</w:t>
      </w:r>
    </w:p>
    <w:p w14:paraId="0B1B5E90"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关于市场化债转股的具体认定原则，主要是根据</w:t>
      </w:r>
      <w:r>
        <w:rPr>
          <w:rFonts w:ascii="Times New Roman" w:hAnsi="Times New Roman" w:cs="Times New Roman" w:hint="eastAsia"/>
          <w:sz w:val="24"/>
        </w:rPr>
        <w:t>54</w:t>
      </w:r>
      <w:r>
        <w:rPr>
          <w:rFonts w:ascii="Times New Roman" w:hAnsi="Times New Roman" w:cs="Times New Roman" w:hint="eastAsia"/>
          <w:sz w:val="24"/>
        </w:rPr>
        <w:t>号文的附件《关于市场化银行债权转股权的指导意见》（以下简称“指导意见”）来判定。</w:t>
      </w:r>
    </w:p>
    <w:p w14:paraId="34076938" w14:textId="77777777" w:rsidR="00BD3166" w:rsidRDefault="00C64679">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1</w:t>
      </w:r>
      <w:r>
        <w:rPr>
          <w:rFonts w:ascii="Times New Roman" w:hAnsi="Times New Roman" w:cs="Times New Roman" w:hint="eastAsia"/>
          <w:b/>
          <w:bCs/>
          <w:sz w:val="24"/>
        </w:rPr>
        <w:t>）实施主体</w:t>
      </w:r>
    </w:p>
    <w:p w14:paraId="1B5C57F2"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指导意见规定：市场化债转股对象企业应当具备以下条件：发展前景较好，具有可行的企业改革计划和脱困安排；主要生产装备、产品、能力符合国家产业发展方向，技术先进，产品有市场，环保和安全生产达标；信用状况较好，无故</w:t>
      </w:r>
      <w:r>
        <w:rPr>
          <w:rFonts w:ascii="Times New Roman" w:hAnsi="Times New Roman" w:cs="Times New Roman" w:hint="eastAsia"/>
          <w:sz w:val="24"/>
        </w:rPr>
        <w:lastRenderedPageBreak/>
        <w:t>意违约、转移资产等不良信用记录。</w:t>
      </w:r>
    </w:p>
    <w:p w14:paraId="40A6A725"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本次增资的具体实施主体为大唐微电子，主营业务符合国家产业发展方向，信用状况良好，符合规定。</w:t>
      </w:r>
    </w:p>
    <w:p w14:paraId="5467142D" w14:textId="77777777" w:rsidR="00BD3166" w:rsidRDefault="00C64679">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2</w:t>
      </w:r>
      <w:r>
        <w:rPr>
          <w:rFonts w:ascii="Times New Roman" w:hAnsi="Times New Roman" w:cs="Times New Roman" w:hint="eastAsia"/>
          <w:b/>
          <w:bCs/>
          <w:sz w:val="24"/>
        </w:rPr>
        <w:t>）实施机构</w:t>
      </w:r>
    </w:p>
    <w:p w14:paraId="117DE51B"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指导意见规定：除国家另有规定外，银行不得直接将债权转为股权。银行将债权转为股权，应通过向实施机构转让债权、由实施机构将债权转为对象企业股权的方式实现。</w:t>
      </w:r>
    </w:p>
    <w:p w14:paraId="25CAFFB9"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本次增资的实施机构（即投资人）为国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基金，系根据债转</w:t>
      </w:r>
      <w:proofErr w:type="gramStart"/>
      <w:r>
        <w:rPr>
          <w:rFonts w:ascii="Times New Roman" w:hAnsi="Times New Roman" w:cs="Times New Roman" w:hint="eastAsia"/>
          <w:sz w:val="24"/>
        </w:rPr>
        <w:t>股相关</w:t>
      </w:r>
      <w:proofErr w:type="gramEnd"/>
      <w:r>
        <w:rPr>
          <w:rFonts w:ascii="Times New Roman" w:hAnsi="Times New Roman" w:cs="Times New Roman" w:hint="eastAsia"/>
          <w:sz w:val="24"/>
        </w:rPr>
        <w:t>政策设立的债转股实施机构，符合规定。</w:t>
      </w:r>
    </w:p>
    <w:p w14:paraId="77C1178C" w14:textId="77777777" w:rsidR="00BD3166" w:rsidRDefault="00C64679">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3</w:t>
      </w:r>
      <w:r>
        <w:rPr>
          <w:rFonts w:ascii="Times New Roman" w:hAnsi="Times New Roman" w:cs="Times New Roman" w:hint="eastAsia"/>
          <w:b/>
          <w:bCs/>
          <w:sz w:val="24"/>
        </w:rPr>
        <w:t>）转股债权</w:t>
      </w:r>
    </w:p>
    <w:p w14:paraId="45B150AB"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指导意见规定：转股债权范围以银行对企业发放贷款形成的债权为主，适当考虑其他类型债权。转股债权质量类型由债权人、企业和实施机构自主协商确定。</w:t>
      </w:r>
    </w:p>
    <w:p w14:paraId="3E707EDF"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本次增资款项将用来偿还银行贷款等有息金融负债，符合转股债权相关规定，且</w:t>
      </w:r>
      <w:proofErr w:type="gramStart"/>
      <w:r>
        <w:rPr>
          <w:rFonts w:ascii="Times New Roman" w:hAnsi="Times New Roman" w:cs="Times New Roman" w:hint="eastAsia"/>
          <w:sz w:val="24"/>
        </w:rPr>
        <w:t>经实施机构国新建信</w:t>
      </w:r>
      <w:proofErr w:type="gramEnd"/>
      <w:r>
        <w:rPr>
          <w:rFonts w:ascii="Times New Roman" w:hAnsi="Times New Roman" w:cs="Times New Roman" w:hint="eastAsia"/>
          <w:sz w:val="24"/>
        </w:rPr>
        <w:t>基金认可。</w:t>
      </w:r>
    </w:p>
    <w:p w14:paraId="7CC0072D" w14:textId="77777777" w:rsidR="00BD3166" w:rsidRDefault="00C64679">
      <w:pPr>
        <w:spacing w:line="360" w:lineRule="auto"/>
        <w:ind w:firstLineChars="200" w:firstLine="482"/>
        <w:rPr>
          <w:rFonts w:ascii="Times New Roman" w:hAnsi="Times New Roman" w:cs="Times New Roman"/>
          <w:b/>
          <w:bCs/>
          <w:sz w:val="24"/>
        </w:rPr>
      </w:pPr>
      <w:r>
        <w:rPr>
          <w:rFonts w:ascii="Times New Roman" w:hAnsi="Times New Roman" w:cs="Times New Roman"/>
          <w:b/>
          <w:bCs/>
          <w:sz w:val="24"/>
        </w:rPr>
        <w:t>4</w:t>
      </w:r>
      <w:r>
        <w:rPr>
          <w:rFonts w:ascii="Times New Roman" w:hAnsi="Times New Roman" w:cs="Times New Roman" w:hint="eastAsia"/>
          <w:b/>
          <w:bCs/>
          <w:sz w:val="24"/>
        </w:rPr>
        <w:t>）退出渠道</w:t>
      </w:r>
    </w:p>
    <w:p w14:paraId="6DE04534"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指导意见规定：实施机构对股权有退出预期的，可与企业协商约定所持股权的退出方式。债转股企业为上市公司的，债转股股权可以依法转让退出，转让时应遵守限售期等证券监管规定。债转股企业为非上市公司的，鼓励利用并购、全国中小企业股份转让系统挂牌、区域性股权市场交易、证券交易所上市等渠道实现转让退出。</w:t>
      </w:r>
    </w:p>
    <w:p w14:paraId="4FCBBF78"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本次增资后国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基金退出渠道为大唐电信发行股份收购其所持股权或经转让退出，符合规定。</w:t>
      </w:r>
    </w:p>
    <w:p w14:paraId="567D47DE"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综上，本次交易整体符合市场化债转股的要求，且</w:t>
      </w:r>
      <w:proofErr w:type="gramStart"/>
      <w:r>
        <w:rPr>
          <w:rFonts w:ascii="Times New Roman" w:hAnsi="Times New Roman" w:cs="Times New Roman" w:hint="eastAsia"/>
          <w:sz w:val="24"/>
        </w:rPr>
        <w:t>经实施机构国新建信</w:t>
      </w:r>
      <w:proofErr w:type="gramEnd"/>
      <w:r>
        <w:rPr>
          <w:rFonts w:ascii="Times New Roman" w:hAnsi="Times New Roman" w:cs="Times New Roman" w:hint="eastAsia"/>
          <w:sz w:val="24"/>
        </w:rPr>
        <w:t>基金认可。</w:t>
      </w:r>
    </w:p>
    <w:p w14:paraId="1F3AF15B" w14:textId="77777777" w:rsidR="00BD3166" w:rsidRDefault="00C64679">
      <w:pPr>
        <w:spacing w:line="360" w:lineRule="auto"/>
        <w:ind w:firstLineChars="200" w:firstLine="482"/>
        <w:rPr>
          <w:rFonts w:ascii="Times New Roman" w:hAnsi="Times New Roman" w:cs="Times New Roman"/>
          <w:b/>
          <w:bCs/>
          <w:sz w:val="24"/>
        </w:rPr>
      </w:pPr>
      <w:r>
        <w:rPr>
          <w:rFonts w:ascii="Times New Roman" w:hAnsi="Times New Roman" w:cs="Times New Roman"/>
          <w:b/>
          <w:bCs/>
          <w:sz w:val="24"/>
        </w:rPr>
        <w:t>2</w:t>
      </w:r>
      <w:r>
        <w:rPr>
          <w:rFonts w:ascii="Times New Roman" w:hAnsi="Times New Roman" w:cs="Times New Roman" w:hint="eastAsia"/>
          <w:b/>
          <w:bCs/>
          <w:sz w:val="24"/>
        </w:rPr>
        <w:t>、</w:t>
      </w:r>
      <w:r>
        <w:rPr>
          <w:rFonts w:ascii="Times New Roman" w:eastAsia="宋体" w:hAnsi="Times New Roman" w:cs="Times New Roman" w:hint="eastAsia"/>
          <w:b/>
          <w:bCs/>
          <w:color w:val="000000"/>
          <w:sz w:val="24"/>
          <w:szCs w:val="24"/>
        </w:rPr>
        <w:t>本次增资安排不构成“明股实债”情形</w:t>
      </w:r>
    </w:p>
    <w:p w14:paraId="334A0481"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为降低资产负债率、有效改善企业资本结构和提升未来盈利能力，公司下属企业大唐微电子拟引入国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基金现金增资，增资总金额为人民币</w:t>
      </w:r>
      <w:r>
        <w:rPr>
          <w:rFonts w:ascii="Times New Roman" w:hAnsi="Times New Roman" w:cs="Times New Roman" w:hint="eastAsia"/>
          <w:sz w:val="24"/>
        </w:rPr>
        <w:t>40,000</w:t>
      </w:r>
      <w:r>
        <w:rPr>
          <w:rFonts w:ascii="Times New Roman" w:hAnsi="Times New Roman" w:cs="Times New Roman" w:hint="eastAsia"/>
          <w:sz w:val="24"/>
        </w:rPr>
        <w:t>万元。本次增资具体会计处理为收到增资款后增加货币资金的同时将相应增资款项记入所有者权益。</w:t>
      </w:r>
    </w:p>
    <w:p w14:paraId="399B978A"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lastRenderedPageBreak/>
        <w:t>为积极助推供给侧结构性改革，国务院于</w:t>
      </w:r>
      <w:r>
        <w:rPr>
          <w:rFonts w:ascii="Times New Roman" w:hAnsi="Times New Roman" w:cs="Times New Roman" w:hint="eastAsia"/>
          <w:sz w:val="24"/>
        </w:rPr>
        <w:t>2016</w:t>
      </w:r>
      <w:r>
        <w:rPr>
          <w:rFonts w:ascii="Times New Roman" w:hAnsi="Times New Roman" w:cs="Times New Roman" w:hint="eastAsia"/>
          <w:sz w:val="24"/>
        </w:rPr>
        <w:t>年</w:t>
      </w:r>
      <w:r>
        <w:rPr>
          <w:rFonts w:ascii="Times New Roman" w:hAnsi="Times New Roman" w:cs="Times New Roman" w:hint="eastAsia"/>
          <w:sz w:val="24"/>
        </w:rPr>
        <w:t>10</w:t>
      </w:r>
      <w:r>
        <w:rPr>
          <w:rFonts w:ascii="Times New Roman" w:hAnsi="Times New Roman" w:cs="Times New Roman" w:hint="eastAsia"/>
          <w:sz w:val="24"/>
        </w:rPr>
        <w:t>月发布《关于市场化银行债权转股权的指导意见》，提出债转股要遵循的基本原则和实施方式；</w:t>
      </w:r>
      <w:r>
        <w:rPr>
          <w:rFonts w:ascii="Times New Roman" w:hAnsi="Times New Roman" w:cs="Times New Roman" w:hint="eastAsia"/>
          <w:sz w:val="24"/>
        </w:rPr>
        <w:t>2018</w:t>
      </w:r>
      <w:r>
        <w:rPr>
          <w:rFonts w:ascii="Times New Roman" w:hAnsi="Times New Roman" w:cs="Times New Roman" w:hint="eastAsia"/>
          <w:sz w:val="24"/>
        </w:rPr>
        <w:t>年</w:t>
      </w:r>
      <w:r>
        <w:rPr>
          <w:rFonts w:ascii="Times New Roman" w:hAnsi="Times New Roman" w:cs="Times New Roman" w:hint="eastAsia"/>
          <w:sz w:val="24"/>
        </w:rPr>
        <w:t>1</w:t>
      </w:r>
      <w:r>
        <w:rPr>
          <w:rFonts w:ascii="Times New Roman" w:hAnsi="Times New Roman" w:cs="Times New Roman" w:hint="eastAsia"/>
          <w:sz w:val="24"/>
        </w:rPr>
        <w:t>月，</w:t>
      </w:r>
      <w:proofErr w:type="gramStart"/>
      <w:r>
        <w:rPr>
          <w:rFonts w:ascii="Times New Roman" w:hAnsi="Times New Roman" w:cs="Times New Roman" w:hint="eastAsia"/>
          <w:sz w:val="24"/>
        </w:rPr>
        <w:t>国家发改委</w:t>
      </w:r>
      <w:proofErr w:type="gramEnd"/>
      <w:r>
        <w:rPr>
          <w:rFonts w:ascii="Times New Roman" w:hAnsi="Times New Roman" w:cs="Times New Roman" w:hint="eastAsia"/>
          <w:sz w:val="24"/>
        </w:rPr>
        <w:t>发布《关于市场化银行债权转股权实施中有关具体政策问题的通知》，明确提出允许上市公司、非上市公众公司发行权益类融资工具实施市场化债转股。国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基金由中国</w:t>
      </w:r>
      <w:proofErr w:type="gramStart"/>
      <w:r>
        <w:rPr>
          <w:rFonts w:ascii="Times New Roman" w:hAnsi="Times New Roman" w:cs="Times New Roman" w:hint="eastAsia"/>
          <w:sz w:val="24"/>
        </w:rPr>
        <w:t>囯</w:t>
      </w:r>
      <w:proofErr w:type="gramEnd"/>
      <w:r>
        <w:rPr>
          <w:rFonts w:ascii="Times New Roman" w:hAnsi="Times New Roman" w:cs="Times New Roman" w:hint="eastAsia"/>
          <w:sz w:val="24"/>
        </w:rPr>
        <w:t>新控股有限责任公司、</w:t>
      </w:r>
      <w:proofErr w:type="gramStart"/>
      <w:r>
        <w:rPr>
          <w:rFonts w:ascii="Times New Roman" w:hAnsi="Times New Roman" w:cs="Times New Roman" w:hint="eastAsia"/>
          <w:sz w:val="24"/>
        </w:rPr>
        <w:t>囯</w:t>
      </w:r>
      <w:proofErr w:type="gramEnd"/>
      <w:r>
        <w:rPr>
          <w:rFonts w:ascii="Times New Roman" w:hAnsi="Times New Roman" w:cs="Times New Roman" w:hint="eastAsia"/>
          <w:sz w:val="24"/>
        </w:rPr>
        <w:t>新</w:t>
      </w:r>
      <w:proofErr w:type="gramStart"/>
      <w:r>
        <w:rPr>
          <w:rFonts w:ascii="Times New Roman" w:hAnsi="Times New Roman" w:cs="Times New Roman" w:hint="eastAsia"/>
          <w:sz w:val="24"/>
        </w:rPr>
        <w:t>融汇</w:t>
      </w:r>
      <w:proofErr w:type="gramEnd"/>
      <w:r>
        <w:rPr>
          <w:rFonts w:ascii="Times New Roman" w:hAnsi="Times New Roman" w:cs="Times New Roman" w:hint="eastAsia"/>
          <w:sz w:val="24"/>
        </w:rPr>
        <w:t>股权投资基金管理有限公司、建信金融资产投资有限公司发起设立，由建信金融资产投资有限公司全资子公司建信</w:t>
      </w:r>
      <w:proofErr w:type="gramStart"/>
      <w:r>
        <w:rPr>
          <w:rFonts w:ascii="Times New Roman" w:hAnsi="Times New Roman" w:cs="Times New Roman" w:hint="eastAsia"/>
          <w:sz w:val="24"/>
        </w:rPr>
        <w:t>金投基金</w:t>
      </w:r>
      <w:proofErr w:type="gramEnd"/>
      <w:r>
        <w:rPr>
          <w:rFonts w:ascii="Times New Roman" w:hAnsi="Times New Roman" w:cs="Times New Roman" w:hint="eastAsia"/>
          <w:sz w:val="24"/>
        </w:rPr>
        <w:t>管理（天津）有限公司负责管理，是债转股实施机构发起设立的私</w:t>
      </w:r>
      <w:proofErr w:type="gramStart"/>
      <w:r>
        <w:rPr>
          <w:rFonts w:ascii="Times New Roman" w:hAnsi="Times New Roman" w:cs="Times New Roman" w:hint="eastAsia"/>
          <w:sz w:val="24"/>
        </w:rPr>
        <w:t>募股权投资</w:t>
      </w:r>
      <w:proofErr w:type="gramEnd"/>
      <w:r>
        <w:rPr>
          <w:rFonts w:ascii="Times New Roman" w:hAnsi="Times New Roman" w:cs="Times New Roman" w:hint="eastAsia"/>
          <w:sz w:val="24"/>
        </w:rPr>
        <w:t>基金。国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基金主要通过市场化债转股方式，促进实体企业降杠杆、减负债。</w:t>
      </w:r>
    </w:p>
    <w:p w14:paraId="21115856"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市场化债转股主要包括“收债转股模式”、“入股还债模式”、“股债结合模式”、“债转优先股模式”，本次增资安排属于“入股还债模式”，符合国务院、</w:t>
      </w:r>
      <w:proofErr w:type="gramStart"/>
      <w:r>
        <w:rPr>
          <w:rFonts w:ascii="Times New Roman" w:hAnsi="Times New Roman" w:cs="Times New Roman" w:hint="eastAsia"/>
          <w:sz w:val="24"/>
        </w:rPr>
        <w:t>发改委</w:t>
      </w:r>
      <w:proofErr w:type="gramEnd"/>
      <w:r>
        <w:rPr>
          <w:rFonts w:ascii="Times New Roman" w:hAnsi="Times New Roman" w:cs="Times New Roman" w:hint="eastAsia"/>
          <w:sz w:val="24"/>
        </w:rPr>
        <w:t>等关于市场化债转股的政策文件要求，结合企业会计准则的相关规定，以及</w:t>
      </w:r>
      <w:r>
        <w:rPr>
          <w:rFonts w:ascii="Times New Roman" w:hAnsi="Times New Roman" w:cs="Times New Roman"/>
          <w:sz w:val="24"/>
        </w:rPr>
        <w:t>前文所述的本次交易中</w:t>
      </w:r>
      <w:r>
        <w:rPr>
          <w:rFonts w:ascii="Times New Roman" w:hAnsi="Times New Roman" w:cs="Times New Roman" w:hint="eastAsia"/>
          <w:sz w:val="24"/>
        </w:rPr>
        <w:t>利润分配机制、投资期限与退出安排等，公司能无条件地避免交付现金或其他金融资产的合同义务。本次增资不形成公司新增债权，公司引入国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基金对控股子公司大唐微电子现金增资不构成“明股实债”。</w:t>
      </w:r>
    </w:p>
    <w:p w14:paraId="31768E7F"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（二）并结合到期日、清偿顺序、利率跳升等安排，说明公司是否能无条件地避免交付现金或其他金融资产的合同义务，相关会计处理是否符合会计准则规定</w:t>
      </w:r>
    </w:p>
    <w:p w14:paraId="2C455AE8"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公司引入国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基金对控股子公司大唐微电子现金增资不构成“明股实债”，公司能够无条件地避免交付现金或其他金融资产的合同义务，具体情况如下：</w:t>
      </w:r>
    </w:p>
    <w:p w14:paraId="7BBD35AB"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hint="eastAsia"/>
          <w:b/>
          <w:sz w:val="24"/>
        </w:rPr>
        <w:t>1</w:t>
      </w:r>
      <w:r>
        <w:rPr>
          <w:rFonts w:ascii="Times New Roman" w:hAnsi="Times New Roman" w:cs="Times New Roman" w:hint="eastAsia"/>
          <w:b/>
          <w:sz w:val="24"/>
        </w:rPr>
        <w:t>、</w:t>
      </w:r>
      <w:r>
        <w:rPr>
          <w:rFonts w:ascii="Times New Roman" w:hAnsi="Times New Roman" w:cs="Times New Roman"/>
          <w:b/>
          <w:sz w:val="24"/>
        </w:rPr>
        <w:t>会计基础理论</w:t>
      </w:r>
    </w:p>
    <w:p w14:paraId="24C0D496"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）金融负债和权益工具的定义</w:t>
      </w:r>
    </w:p>
    <w:p w14:paraId="14A854E3"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金融负债和权益工具属于不同的会计要素，分别在资产负债表中性质不同的结构中列报。根据《企业会计准则——基本准则》，负债是指企业过去的交易或者事项形成的、预期会导致经济利益流出企业的现时义务。权益工具是指能证明拥有某个企业在扣除所有负债后的资产中的剩余权益的合约，指企业资产扣除负债后由所有者享有的剩余权益。</w:t>
      </w:r>
    </w:p>
    <w:p w14:paraId="18CD4C81"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公司与国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基金签订的相关增资协议系按照《公司法》等法律法规要求</w:t>
      </w:r>
      <w:r>
        <w:rPr>
          <w:rFonts w:ascii="Times New Roman" w:hAnsi="Times New Roman" w:cs="Times New Roman" w:hint="eastAsia"/>
          <w:sz w:val="24"/>
        </w:rPr>
        <w:lastRenderedPageBreak/>
        <w:t>签署，对大唐微电子</w:t>
      </w:r>
      <w:proofErr w:type="gramStart"/>
      <w:r>
        <w:rPr>
          <w:rFonts w:ascii="Times New Roman" w:hAnsi="Times New Roman" w:cs="Times New Roman" w:hint="eastAsia"/>
          <w:sz w:val="24"/>
        </w:rPr>
        <w:t>而言系</w:t>
      </w:r>
      <w:proofErr w:type="gramEnd"/>
      <w:r>
        <w:rPr>
          <w:rFonts w:ascii="Times New Roman" w:hAnsi="Times New Roman" w:cs="Times New Roman" w:hint="eastAsia"/>
          <w:sz w:val="24"/>
        </w:rPr>
        <w:t>一项增资行为。同时，增资协议中对股权退出做了如下安排：一是自增资款到位后</w:t>
      </w:r>
      <w:r>
        <w:rPr>
          <w:rFonts w:ascii="Times New Roman" w:hAnsi="Times New Roman" w:cs="Times New Roman" w:hint="eastAsia"/>
          <w:sz w:val="24"/>
        </w:rPr>
        <w:t>5</w:t>
      </w:r>
      <w:r>
        <w:rPr>
          <w:rFonts w:ascii="Times New Roman" w:hAnsi="Times New Roman" w:cs="Times New Roman" w:hint="eastAsia"/>
          <w:sz w:val="24"/>
        </w:rPr>
        <w:t>年内，经双方协商一致后可由上市公司发行股份购买国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基金所持股权；二是特殊情形触发后，上市公司及大唐半导体可选择由自身或“协调第三方”在国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基金发出通知后</w:t>
      </w:r>
      <w:r>
        <w:rPr>
          <w:rFonts w:ascii="Times New Roman" w:hAnsi="Times New Roman" w:cs="Times New Roman" w:hint="eastAsia"/>
          <w:sz w:val="24"/>
        </w:rPr>
        <w:t>120</w:t>
      </w:r>
      <w:r>
        <w:rPr>
          <w:rFonts w:ascii="Times New Roman" w:hAnsi="Times New Roman" w:cs="Times New Roman" w:hint="eastAsia"/>
          <w:sz w:val="24"/>
        </w:rPr>
        <w:t>日内收购其持有大唐微电子的股权，若在国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基金发出通知后</w:t>
      </w:r>
      <w:r>
        <w:rPr>
          <w:rFonts w:ascii="Times New Roman" w:hAnsi="Times New Roman" w:cs="Times New Roman" w:hint="eastAsia"/>
          <w:sz w:val="24"/>
        </w:rPr>
        <w:t>120</w:t>
      </w:r>
      <w:r>
        <w:rPr>
          <w:rFonts w:ascii="Times New Roman" w:hAnsi="Times New Roman" w:cs="Times New Roman" w:hint="eastAsia"/>
          <w:sz w:val="24"/>
        </w:rPr>
        <w:t>日内未能完成其股权退出且逾期超过</w:t>
      </w:r>
      <w:r>
        <w:rPr>
          <w:rFonts w:ascii="Times New Roman" w:hAnsi="Times New Roman" w:cs="Times New Roman" w:hint="eastAsia"/>
          <w:sz w:val="24"/>
        </w:rPr>
        <w:t>3</w:t>
      </w:r>
      <w:r>
        <w:rPr>
          <w:rFonts w:ascii="Times New Roman" w:hAnsi="Times New Roman" w:cs="Times New Roman"/>
          <w:sz w:val="24"/>
        </w:rPr>
        <w:t>0</w:t>
      </w:r>
      <w:r>
        <w:rPr>
          <w:rFonts w:ascii="Times New Roman" w:hAnsi="Times New Roman" w:cs="Times New Roman" w:hint="eastAsia"/>
          <w:sz w:val="24"/>
        </w:rPr>
        <w:t>日，国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基金可进一步享有利率跳升或自主选择对外转让股权等条款，公司并无必须回购国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基金所持股权的义务，并不存在“预期会导致经济利益流出企业的现时义务”，不符合负债特征。此外，双方协议约定，自本次交易交割日起，国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基金将成为大唐微电子股东，对大唐微电子承担法律规定和章程及协议约定的股东义务，国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基金所持股权符合权益工具定义。</w:t>
      </w:r>
    </w:p>
    <w:p w14:paraId="16FCA1A5"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）金融负债和权益工具的特征</w:t>
      </w:r>
    </w:p>
    <w:p w14:paraId="74D1F3EE"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金融负债和权益工具承担的财务风险特征不同，享有的资本使用权让渡补偿</w:t>
      </w:r>
      <w:r>
        <w:rPr>
          <w:rFonts w:ascii="Times New Roman" w:hAnsi="Times New Roman" w:cs="Times New Roman" w:hint="eastAsia"/>
          <w:sz w:val="24"/>
        </w:rPr>
        <w:t>/</w:t>
      </w:r>
      <w:r>
        <w:rPr>
          <w:rFonts w:ascii="Times New Roman" w:hAnsi="Times New Roman" w:cs="Times New Roman" w:hint="eastAsia"/>
          <w:sz w:val="24"/>
        </w:rPr>
        <w:t>回报机制也不同。金融负债投资人的主要享有对本金和利息的追偿权，面临的风险主要是债务人的信用风险和破产风险，但可以通过企业资产优先级受偿，对其本金和利息追索权进行优先级保全，但是对公司的经营没有参与和决策权。权益工具投资者承担的风险主要是企业的市场经营风险，资本回报方式是企业留存收益的分红和企业净资产的要求权，属于劣后级要求权，但是具有企业经营参与和决策权。因此，对于投资人而言，权益工具收益和风险的不确定性往往要高于金融负债。</w:t>
      </w:r>
    </w:p>
    <w:p w14:paraId="3587EC1F"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bCs/>
          <w:sz w:val="24"/>
        </w:rPr>
        <w:t>本次交易中，</w:t>
      </w:r>
      <w:r>
        <w:rPr>
          <w:rFonts w:ascii="Times New Roman" w:hAnsi="Times New Roman" w:cs="Times New Roman" w:hint="eastAsia"/>
          <w:sz w:val="24"/>
        </w:rPr>
        <w:t>考虑双方协议并未约定强制回购条款且未达分红预期的情形下国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基金仅能选择利率跳升或对外转让股权，实质上对其投资并无优先级别受偿及保全，不符合金融负债特征。</w:t>
      </w:r>
      <w:r>
        <w:rPr>
          <w:rFonts w:ascii="Times New Roman" w:hAnsi="Times New Roman" w:cs="Times New Roman" w:hint="eastAsia"/>
          <w:bCs/>
          <w:sz w:val="24"/>
        </w:rPr>
        <w:t>相反，国</w:t>
      </w:r>
      <w:proofErr w:type="gramStart"/>
      <w:r>
        <w:rPr>
          <w:rFonts w:ascii="Times New Roman" w:hAnsi="Times New Roman" w:cs="Times New Roman" w:hint="eastAsia"/>
          <w:bCs/>
          <w:sz w:val="24"/>
        </w:rPr>
        <w:t>新建信</w:t>
      </w:r>
      <w:proofErr w:type="gramEnd"/>
      <w:r>
        <w:rPr>
          <w:rFonts w:ascii="Times New Roman" w:hAnsi="Times New Roman" w:cs="Times New Roman" w:hint="eastAsia"/>
          <w:bCs/>
          <w:sz w:val="24"/>
        </w:rPr>
        <w:t>基金通过参与公司经营管理，促进公司业绩增长以获取</w:t>
      </w:r>
      <w:r>
        <w:rPr>
          <w:rFonts w:ascii="Times New Roman" w:hAnsi="Times New Roman" w:cs="Times New Roman" w:hint="eastAsia"/>
          <w:sz w:val="24"/>
        </w:rPr>
        <w:t>企业留存收益的分红和企业净资产的要求权，符合权益工具的特征。</w:t>
      </w:r>
    </w:p>
    <w:p w14:paraId="3A7A2213"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hint="eastAsia"/>
          <w:b/>
          <w:sz w:val="24"/>
        </w:rPr>
        <w:t>2</w:t>
      </w:r>
      <w:r>
        <w:rPr>
          <w:rFonts w:ascii="Times New Roman" w:hAnsi="Times New Roman" w:cs="Times New Roman" w:hint="eastAsia"/>
          <w:b/>
          <w:sz w:val="24"/>
        </w:rPr>
        <w:t>、具体会计准则</w:t>
      </w:r>
    </w:p>
    <w:p w14:paraId="7A7A114F"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对于国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投资增资事项在本公司财务报表层面应当分类为权益还是负债，应依据《企业会计准则第</w:t>
      </w:r>
      <w:r>
        <w:rPr>
          <w:rFonts w:ascii="Times New Roman" w:hAnsi="Times New Roman" w:cs="Times New Roman" w:hint="eastAsia"/>
          <w:sz w:val="24"/>
        </w:rPr>
        <w:t>37</w:t>
      </w:r>
      <w:r>
        <w:rPr>
          <w:rFonts w:ascii="Times New Roman" w:hAnsi="Times New Roman" w:cs="Times New Roman" w:hint="eastAsia"/>
          <w:sz w:val="24"/>
        </w:rPr>
        <w:t>号——金融工具列报》第八条规定：“金融负债，是指企业符合下列条件之一的负债：（一）向其他方交付现金或其他金融资产的合同义务。（二）在潜在不利条件下，与其他方交换金融资产或金融负债的合同</w:t>
      </w:r>
      <w:r>
        <w:rPr>
          <w:rFonts w:ascii="Times New Roman" w:hAnsi="Times New Roman" w:cs="Times New Roman" w:hint="eastAsia"/>
          <w:sz w:val="24"/>
        </w:rPr>
        <w:lastRenderedPageBreak/>
        <w:t>义务。……”；以及第十条规定：“金融负债与权益工具的区分：（一）如果企业不能无条件地避免以交付现金或其他金融资产来履行一项合同义务，则该合同义务符合金融负债的定义。……”。</w:t>
      </w:r>
    </w:p>
    <w:p w14:paraId="37F6FECF"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中国证监会《监管规则适用指引——会计类</w:t>
      </w:r>
      <w:r>
        <w:rPr>
          <w:rFonts w:ascii="Times New Roman" w:hAnsi="Times New Roman" w:cs="Times New Roman" w:hint="eastAsia"/>
          <w:sz w:val="24"/>
        </w:rPr>
        <w:t>1</w:t>
      </w:r>
      <w:r>
        <w:rPr>
          <w:rFonts w:ascii="Times New Roman" w:hAnsi="Times New Roman" w:cs="Times New Roman" w:hint="eastAsia"/>
          <w:sz w:val="24"/>
        </w:rPr>
        <w:t>号》（以下简称“《会计类</w:t>
      </w:r>
      <w:r>
        <w:rPr>
          <w:rFonts w:ascii="Times New Roman" w:hAnsi="Times New Roman" w:cs="Times New Roman" w:hint="eastAsia"/>
          <w:sz w:val="24"/>
        </w:rPr>
        <w:t>1</w:t>
      </w:r>
      <w:r>
        <w:rPr>
          <w:rFonts w:ascii="Times New Roman" w:hAnsi="Times New Roman" w:cs="Times New Roman" w:hint="eastAsia"/>
          <w:sz w:val="24"/>
        </w:rPr>
        <w:t>号指引》”）明确了附回售条款股权投资的确认与分类。若投资方与被投资方约定，如被投资方未能满足特定目标，投资方有权要求按照成本</w:t>
      </w:r>
      <w:proofErr w:type="gramStart"/>
      <w:r>
        <w:rPr>
          <w:rFonts w:ascii="Times New Roman" w:hAnsi="Times New Roman" w:cs="Times New Roman" w:hint="eastAsia"/>
          <w:sz w:val="24"/>
        </w:rPr>
        <w:t>加年化收益率</w:t>
      </w:r>
      <w:proofErr w:type="gramEnd"/>
      <w:r>
        <w:rPr>
          <w:rFonts w:ascii="Times New Roman" w:hAnsi="Times New Roman" w:cs="Times New Roman" w:hint="eastAsia"/>
          <w:sz w:val="24"/>
        </w:rPr>
        <w:t>的对价将该股权回售给被投资方，从被投资方角度来看，由于被投资方存在无法避免的向投资方交付现金的合同义务，应分类为金融负债进行会计处理。</w:t>
      </w:r>
    </w:p>
    <w:p w14:paraId="199A0F76"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因此，在进行权益工具与金融负债的划分时，需要进一步分析公司是否可以无条件地避免以交付现金或其他金融资产来履行合同义务。下文将从本次交易的</w:t>
      </w:r>
      <w:r>
        <w:rPr>
          <w:rFonts w:ascii="Times New Roman" w:hAnsi="Times New Roman" w:cs="Times New Roman"/>
          <w:sz w:val="24"/>
        </w:rPr>
        <w:t>利润分配机制、</w:t>
      </w:r>
      <w:r>
        <w:rPr>
          <w:rFonts w:ascii="Times New Roman" w:hAnsi="Times New Roman" w:cs="Times New Roman" w:hint="eastAsia"/>
          <w:sz w:val="24"/>
        </w:rPr>
        <w:t>退出安排、利率跳升、到期日以及清偿顺序等因素详细阐述。</w:t>
      </w:r>
    </w:p>
    <w:p w14:paraId="464FE78D"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b/>
          <w:sz w:val="24"/>
        </w:rPr>
        <w:t>（</w:t>
      </w:r>
      <w:r>
        <w:rPr>
          <w:rFonts w:ascii="Times New Roman" w:hAnsi="Times New Roman" w:cs="Times New Roman" w:hint="eastAsia"/>
          <w:b/>
          <w:sz w:val="24"/>
        </w:rPr>
        <w:t>1</w:t>
      </w:r>
      <w:r>
        <w:rPr>
          <w:rFonts w:ascii="Times New Roman" w:hAnsi="Times New Roman" w:cs="Times New Roman"/>
          <w:b/>
          <w:sz w:val="24"/>
        </w:rPr>
        <w:t>）利润分配机制</w:t>
      </w:r>
    </w:p>
    <w:p w14:paraId="0272E338" w14:textId="1DCB8F9A"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交易各方通过协议约定：在国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基金持股期间，目标公司在有可分配利润（含往年滚存的未分配利润）的前提下，应在计提法定盈余</w:t>
      </w:r>
      <w:proofErr w:type="gramStart"/>
      <w:r>
        <w:rPr>
          <w:rFonts w:ascii="Times New Roman" w:hAnsi="Times New Roman" w:cs="Times New Roman" w:hint="eastAsia"/>
          <w:sz w:val="24"/>
        </w:rPr>
        <w:t>公积后于</w:t>
      </w:r>
      <w:proofErr w:type="gramEnd"/>
      <w:r>
        <w:rPr>
          <w:rFonts w:ascii="Times New Roman" w:hAnsi="Times New Roman" w:cs="Times New Roman" w:hint="eastAsia"/>
          <w:sz w:val="24"/>
        </w:rPr>
        <w:t>每年</w:t>
      </w:r>
      <w:r>
        <w:rPr>
          <w:rFonts w:ascii="Times New Roman" w:hAnsi="Times New Roman" w:cs="Times New Roman" w:hint="eastAsia"/>
          <w:sz w:val="24"/>
        </w:rPr>
        <w:t>9</w:t>
      </w:r>
      <w:r>
        <w:rPr>
          <w:rFonts w:ascii="Times New Roman" w:hAnsi="Times New Roman" w:cs="Times New Roman" w:hint="eastAsia"/>
          <w:sz w:val="24"/>
        </w:rPr>
        <w:t>月</w:t>
      </w:r>
      <w:r>
        <w:rPr>
          <w:rFonts w:ascii="Times New Roman" w:hAnsi="Times New Roman" w:cs="Times New Roman" w:hint="eastAsia"/>
          <w:sz w:val="24"/>
        </w:rPr>
        <w:t>30</w:t>
      </w:r>
      <w:r>
        <w:rPr>
          <w:rFonts w:ascii="Times New Roman" w:hAnsi="Times New Roman" w:cs="Times New Roman" w:hint="eastAsia"/>
          <w:sz w:val="24"/>
        </w:rPr>
        <w:t>日之前召开股东会并对上一会计年度利润分配方案进行表决。国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基金年度分红目标</w:t>
      </w:r>
      <w:r>
        <w:rPr>
          <w:rFonts w:ascii="Times New Roman" w:hAnsi="Times New Roman" w:cs="Times New Roman" w:hint="eastAsia"/>
          <w:sz w:val="24"/>
        </w:rPr>
        <w:t>=</w:t>
      </w:r>
      <w:r>
        <w:rPr>
          <w:rFonts w:ascii="Times New Roman" w:hAnsi="Times New Roman" w:cs="Times New Roman" w:hint="eastAsia"/>
          <w:sz w:val="24"/>
        </w:rPr>
        <w:t>增资款金额×基准股息率。全体股东按照实</w:t>
      </w:r>
      <w:proofErr w:type="gramStart"/>
      <w:r>
        <w:rPr>
          <w:rFonts w:ascii="Times New Roman" w:hAnsi="Times New Roman" w:cs="Times New Roman" w:hint="eastAsia"/>
          <w:sz w:val="24"/>
        </w:rPr>
        <w:t>缴</w:t>
      </w:r>
      <w:proofErr w:type="gramEnd"/>
      <w:r>
        <w:rPr>
          <w:rFonts w:ascii="Times New Roman" w:hAnsi="Times New Roman" w:cs="Times New Roman" w:hint="eastAsia"/>
          <w:sz w:val="24"/>
        </w:rPr>
        <w:t>注册资本对应的持股比例分红，利润分配方案最终以股东会决策为准，若股东会最终未就利润分配方案做出决议或未能按协议约定的利润分配方案进行分配的，不构成任何一方违约。</w:t>
      </w:r>
    </w:p>
    <w:p w14:paraId="0C838A67"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根据《增资协议》约定，大唐微电子分红方案应经包括国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基金在内的代表二分之一以上表决权的股东通过，即国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基金针对分红事项享有一票否决权。如后续因分红水平不及预期或其他原因，国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基金存在行使一票否决权而否决大唐微电子分红方案的风险。即使大唐微电子利润分配未能达到国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基金年度分红目标，公司触发了约定的特殊情形，上市公司及大唐半导体亦可选择由自身或“协调第三方”</w:t>
      </w:r>
      <w:proofErr w:type="gramStart"/>
      <w:r>
        <w:rPr>
          <w:rFonts w:ascii="Times New Roman" w:hAnsi="Times New Roman" w:cs="Times New Roman" w:hint="eastAsia"/>
          <w:sz w:val="24"/>
        </w:rPr>
        <w:t>收购国新建信</w:t>
      </w:r>
      <w:proofErr w:type="gramEnd"/>
      <w:r>
        <w:rPr>
          <w:rFonts w:ascii="Times New Roman" w:hAnsi="Times New Roman" w:cs="Times New Roman" w:hint="eastAsia"/>
          <w:sz w:val="24"/>
        </w:rPr>
        <w:t>基金所持的股权，若未能</w:t>
      </w:r>
      <w:proofErr w:type="gramStart"/>
      <w:r>
        <w:rPr>
          <w:rFonts w:ascii="Times New Roman" w:hAnsi="Times New Roman" w:cs="Times New Roman" w:hint="eastAsia"/>
          <w:sz w:val="24"/>
        </w:rPr>
        <w:t>配合国新建信</w:t>
      </w:r>
      <w:proofErr w:type="gramEnd"/>
      <w:r>
        <w:rPr>
          <w:rFonts w:ascii="Times New Roman" w:hAnsi="Times New Roman" w:cs="Times New Roman" w:hint="eastAsia"/>
          <w:sz w:val="24"/>
        </w:rPr>
        <w:t>基金完成股权退出，则国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基金将进一步享有利率跳升以及对外转让股权的权利，上市公司及大唐半导体自始至终无回购大唐微电子股权的义务。</w:t>
      </w:r>
    </w:p>
    <w:p w14:paraId="2D614798"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sz w:val="24"/>
        </w:rPr>
        <w:t>上述有关利润分配机制符合</w:t>
      </w:r>
      <w:r>
        <w:rPr>
          <w:rFonts w:ascii="Times New Roman" w:hAnsi="Times New Roman" w:cs="Times New Roman" w:hint="eastAsia"/>
          <w:sz w:val="24"/>
        </w:rPr>
        <w:t>《企业会计准则第</w:t>
      </w:r>
      <w:r>
        <w:rPr>
          <w:rFonts w:ascii="Times New Roman" w:hAnsi="Times New Roman" w:cs="Times New Roman" w:hint="eastAsia"/>
          <w:sz w:val="24"/>
        </w:rPr>
        <w:t>37</w:t>
      </w:r>
      <w:r>
        <w:rPr>
          <w:rFonts w:ascii="Times New Roman" w:hAnsi="Times New Roman" w:cs="Times New Roman" w:hint="eastAsia"/>
          <w:sz w:val="24"/>
        </w:rPr>
        <w:t>号——金融工具列报》第九条权益工具是指能证明某个企业在扣除所有负债后的资产中的剩余权益的合</w:t>
      </w:r>
      <w:r>
        <w:rPr>
          <w:rFonts w:ascii="Times New Roman" w:hAnsi="Times New Roman" w:cs="Times New Roman" w:hint="eastAsia"/>
          <w:sz w:val="24"/>
        </w:rPr>
        <w:lastRenderedPageBreak/>
        <w:t>同，且同时满足准则规定的条件，一是该金融工具应当不包括交付现金或其他金融资产给其他方，或在潜在不利条件下与其他方交换金融资产或金融负债的合同义务。二是将来须用或可用企业自身权益工具结算该金融工具。如为非衍生工具，该金融工具应当不包括交付可变数量的自身权益工具进行结算的合同义务。</w:t>
      </w:r>
    </w:p>
    <w:p w14:paraId="08046934" w14:textId="2550D0AD"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hint="eastAsia"/>
          <w:b/>
          <w:sz w:val="24"/>
        </w:rPr>
        <w:t>（</w:t>
      </w:r>
      <w:r>
        <w:rPr>
          <w:rFonts w:ascii="Times New Roman" w:hAnsi="Times New Roman" w:cs="Times New Roman"/>
          <w:b/>
          <w:sz w:val="24"/>
        </w:rPr>
        <w:t>2</w:t>
      </w:r>
      <w:r>
        <w:rPr>
          <w:rFonts w:ascii="Times New Roman" w:hAnsi="Times New Roman" w:cs="Times New Roman" w:hint="eastAsia"/>
          <w:b/>
          <w:sz w:val="24"/>
        </w:rPr>
        <w:t>）退出安排</w:t>
      </w:r>
    </w:p>
    <w:p w14:paraId="2C44B610"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本次增资设置两类退出安排：</w:t>
      </w:r>
    </w:p>
    <w:p w14:paraId="63094E8D"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①股权置换退出</w:t>
      </w:r>
    </w:p>
    <w:p w14:paraId="77176B65"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在《增资协议》中约定，在国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基金投资期限届满前，经各方协商一致可择机启动股权置换退出工作，由公司向国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基金发行股份购买其持有的大唐微电子全部股权，将国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基金持有的大唐微电子全部股权置换为本公司股票。</w:t>
      </w:r>
    </w:p>
    <w:p w14:paraId="58800710"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上述条款中约定的股权置换工作启动前提为“各方协商一致”，因此，公司“可以无条件的避免通过支付现金或其他金融资产来履行合同义务”。</w:t>
      </w:r>
    </w:p>
    <w:p w14:paraId="429BD6F1"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②特殊情形退出</w:t>
      </w:r>
    </w:p>
    <w:p w14:paraId="6F91A521"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公司触发相关条款约定的特殊情形退出后将形成以下两种层次：</w:t>
      </w:r>
    </w:p>
    <w:p w14:paraId="4178CB10" w14:textId="77777777" w:rsidR="00BD3166" w:rsidRDefault="00C64679">
      <w:pPr>
        <w:spacing w:line="360" w:lineRule="auto"/>
        <w:ind w:firstLineChars="200" w:firstLine="482"/>
        <w:rPr>
          <w:rFonts w:ascii="Times New Roman" w:hAnsi="Times New Roman" w:cs="Times New Roman"/>
          <w:sz w:val="24"/>
        </w:rPr>
      </w:pPr>
      <w:r>
        <w:rPr>
          <w:rFonts w:ascii="Times New Roman" w:hAnsi="Times New Roman" w:cs="Times New Roman"/>
          <w:b/>
          <w:bCs/>
          <w:sz w:val="24"/>
        </w:rPr>
        <w:t>第一层次</w:t>
      </w:r>
      <w:r>
        <w:rPr>
          <w:rFonts w:ascii="Times New Roman" w:hAnsi="Times New Roman" w:cs="Times New Roman" w:hint="eastAsia"/>
          <w:b/>
          <w:bCs/>
          <w:sz w:val="24"/>
        </w:rPr>
        <w:t>：</w:t>
      </w:r>
      <w:r>
        <w:rPr>
          <w:rFonts w:ascii="Times New Roman" w:hAnsi="Times New Roman" w:cs="Times New Roman" w:hint="eastAsia"/>
          <w:sz w:val="24"/>
        </w:rPr>
        <w:t>自增资日起，若大唐微电子发生任何下列情况，上市公司及大唐半导体可选择由自身或“协调第三方”在国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基金发出通知后</w:t>
      </w:r>
      <w:r>
        <w:rPr>
          <w:rFonts w:ascii="Times New Roman" w:hAnsi="Times New Roman" w:cs="Times New Roman" w:hint="eastAsia"/>
          <w:sz w:val="24"/>
        </w:rPr>
        <w:t>120</w:t>
      </w:r>
      <w:r>
        <w:rPr>
          <w:rFonts w:ascii="Times New Roman" w:hAnsi="Times New Roman" w:cs="Times New Roman" w:hint="eastAsia"/>
          <w:sz w:val="24"/>
        </w:rPr>
        <w:t>日内以“约定转让对价”收购其持有大唐微电子的股权：</w:t>
      </w:r>
    </w:p>
    <w:p w14:paraId="52130A31"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）目标公司任意连续两年（自</w:t>
      </w:r>
      <w:r>
        <w:rPr>
          <w:rFonts w:ascii="Times New Roman" w:hAnsi="Times New Roman" w:cs="Times New Roman" w:hint="eastAsia"/>
          <w:sz w:val="24"/>
        </w:rPr>
        <w:t>2021</w:t>
      </w:r>
      <w:r>
        <w:rPr>
          <w:rFonts w:ascii="Times New Roman" w:hAnsi="Times New Roman" w:cs="Times New Roman" w:hint="eastAsia"/>
          <w:sz w:val="24"/>
        </w:rPr>
        <w:t>年起，含</w:t>
      </w:r>
      <w:r>
        <w:rPr>
          <w:rFonts w:ascii="Times New Roman" w:hAnsi="Times New Roman" w:cs="Times New Roman" w:hint="eastAsia"/>
          <w:sz w:val="24"/>
        </w:rPr>
        <w:t>2021</w:t>
      </w:r>
      <w:r>
        <w:rPr>
          <w:rFonts w:ascii="Times New Roman" w:hAnsi="Times New Roman" w:cs="Times New Roman" w:hint="eastAsia"/>
          <w:sz w:val="24"/>
        </w:rPr>
        <w:t>年）经审计的合并口径年均净利润低于</w:t>
      </w:r>
      <w:r>
        <w:rPr>
          <w:rFonts w:ascii="Times New Roman" w:hAnsi="Times New Roman" w:cs="Times New Roman" w:hint="eastAsia"/>
          <w:sz w:val="24"/>
        </w:rPr>
        <w:t>5000</w:t>
      </w:r>
      <w:r>
        <w:rPr>
          <w:rFonts w:ascii="Times New Roman" w:hAnsi="Times New Roman" w:cs="Times New Roman" w:hint="eastAsia"/>
          <w:sz w:val="24"/>
        </w:rPr>
        <w:t>万或任</w:t>
      </w:r>
      <w:proofErr w:type="gramStart"/>
      <w:r>
        <w:rPr>
          <w:rFonts w:ascii="Times New Roman" w:hAnsi="Times New Roman" w:cs="Times New Roman" w:hint="eastAsia"/>
          <w:sz w:val="24"/>
        </w:rPr>
        <w:t>一</w:t>
      </w:r>
      <w:proofErr w:type="gramEnd"/>
      <w:r>
        <w:rPr>
          <w:rFonts w:ascii="Times New Roman" w:hAnsi="Times New Roman" w:cs="Times New Roman" w:hint="eastAsia"/>
          <w:sz w:val="24"/>
        </w:rPr>
        <w:t>会计年度经审计的合并口径净利润为负值；</w:t>
      </w:r>
    </w:p>
    <w:p w14:paraId="3F7ACA6D"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）目标公司</w:t>
      </w:r>
      <w:r>
        <w:rPr>
          <w:rFonts w:ascii="Times New Roman" w:hAnsi="Times New Roman" w:cs="Times New Roman" w:hint="eastAsia"/>
          <w:sz w:val="24"/>
        </w:rPr>
        <w:t>2021-2023</w:t>
      </w:r>
      <w:r>
        <w:rPr>
          <w:rFonts w:ascii="Times New Roman" w:hAnsi="Times New Roman" w:cs="Times New Roman" w:hint="eastAsia"/>
          <w:sz w:val="24"/>
        </w:rPr>
        <w:t>年经审计合计净利润低于</w:t>
      </w:r>
      <w:r>
        <w:rPr>
          <w:rFonts w:ascii="Times New Roman" w:hAnsi="Times New Roman" w:cs="Times New Roman" w:hint="eastAsia"/>
          <w:sz w:val="24"/>
        </w:rPr>
        <w:t>1.7</w:t>
      </w:r>
      <w:r>
        <w:rPr>
          <w:rFonts w:ascii="Times New Roman" w:hAnsi="Times New Roman" w:cs="Times New Roman" w:hint="eastAsia"/>
          <w:sz w:val="24"/>
        </w:rPr>
        <w:t>亿元，或</w:t>
      </w:r>
      <w:r>
        <w:rPr>
          <w:rFonts w:ascii="Times New Roman" w:hAnsi="Times New Roman" w:cs="Times New Roman" w:hint="eastAsia"/>
          <w:sz w:val="24"/>
        </w:rPr>
        <w:t>2021-2025</w:t>
      </w:r>
      <w:r>
        <w:rPr>
          <w:rFonts w:ascii="Times New Roman" w:hAnsi="Times New Roman" w:cs="Times New Roman" w:hint="eastAsia"/>
          <w:sz w:val="24"/>
        </w:rPr>
        <w:t>年经审计合计净利润低于</w:t>
      </w:r>
      <w:r>
        <w:rPr>
          <w:rFonts w:ascii="Times New Roman" w:hAnsi="Times New Roman" w:cs="Times New Roman" w:hint="eastAsia"/>
          <w:sz w:val="24"/>
        </w:rPr>
        <w:t>2.8</w:t>
      </w:r>
      <w:r>
        <w:rPr>
          <w:rFonts w:ascii="Times New Roman" w:hAnsi="Times New Roman" w:cs="Times New Roman" w:hint="eastAsia"/>
          <w:sz w:val="24"/>
        </w:rPr>
        <w:t>亿元；</w:t>
      </w:r>
    </w:p>
    <w:p w14:paraId="64B47C28"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sz w:val="24"/>
        </w:rPr>
        <w:t>……</w:t>
      </w:r>
    </w:p>
    <w:p w14:paraId="7B0BEC16"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12</w:t>
      </w:r>
      <w:r>
        <w:rPr>
          <w:rFonts w:ascii="Times New Roman" w:hAnsi="Times New Roman" w:cs="Times New Roman" w:hint="eastAsia"/>
          <w:sz w:val="24"/>
        </w:rPr>
        <w:t>）若因任何原因导致国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基金在投资期限内未能以股权置换方式退出的。”</w:t>
      </w:r>
    </w:p>
    <w:p w14:paraId="136CF4DE"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在第一层次下，上述条款约定的特殊退出情形触发后，上市公司及大唐半导体可选择由自身或“协调第三方”在国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基金发出通知后</w:t>
      </w:r>
      <w:r>
        <w:rPr>
          <w:rFonts w:ascii="Times New Roman" w:hAnsi="Times New Roman" w:cs="Times New Roman" w:hint="eastAsia"/>
          <w:sz w:val="24"/>
        </w:rPr>
        <w:t>1</w:t>
      </w:r>
      <w:r>
        <w:rPr>
          <w:rFonts w:ascii="Times New Roman" w:hAnsi="Times New Roman" w:cs="Times New Roman"/>
          <w:sz w:val="24"/>
        </w:rPr>
        <w:t>20</w:t>
      </w:r>
      <w:r>
        <w:rPr>
          <w:rFonts w:ascii="Times New Roman" w:hAnsi="Times New Roman" w:cs="Times New Roman"/>
          <w:sz w:val="24"/>
        </w:rPr>
        <w:t>日内收购其持有大唐微电子的股权。此处，公司可以通过</w:t>
      </w:r>
      <w:r>
        <w:rPr>
          <w:rFonts w:ascii="Times New Roman" w:hAnsi="Times New Roman" w:cs="Times New Roman" w:hint="eastAsia"/>
          <w:sz w:val="24"/>
        </w:rPr>
        <w:t>“</w:t>
      </w:r>
      <w:r>
        <w:rPr>
          <w:rFonts w:ascii="Times New Roman" w:hAnsi="Times New Roman" w:cs="Times New Roman"/>
          <w:sz w:val="24"/>
        </w:rPr>
        <w:t>协调第三方</w:t>
      </w:r>
      <w:r>
        <w:rPr>
          <w:rFonts w:ascii="Times New Roman" w:hAnsi="Times New Roman" w:cs="Times New Roman" w:hint="eastAsia"/>
          <w:sz w:val="24"/>
        </w:rPr>
        <w:t>”</w:t>
      </w:r>
      <w:r>
        <w:rPr>
          <w:rFonts w:ascii="Times New Roman" w:hAnsi="Times New Roman" w:cs="Times New Roman"/>
          <w:sz w:val="24"/>
        </w:rPr>
        <w:t>的方式来避免向国</w:t>
      </w:r>
      <w:proofErr w:type="gramStart"/>
      <w:r>
        <w:rPr>
          <w:rFonts w:ascii="Times New Roman" w:hAnsi="Times New Roman" w:cs="Times New Roman"/>
          <w:sz w:val="24"/>
        </w:rPr>
        <w:t>新建信</w:t>
      </w:r>
      <w:proofErr w:type="gramEnd"/>
      <w:r>
        <w:rPr>
          <w:rFonts w:ascii="Times New Roman" w:hAnsi="Times New Roman" w:cs="Times New Roman"/>
          <w:sz w:val="24"/>
        </w:rPr>
        <w:t>基金回购相关股权。而即使公司未能成功</w:t>
      </w:r>
      <w:r>
        <w:rPr>
          <w:rFonts w:ascii="Times New Roman" w:hAnsi="Times New Roman" w:cs="Times New Roman" w:hint="eastAsia"/>
          <w:sz w:val="24"/>
        </w:rPr>
        <w:t>“</w:t>
      </w:r>
      <w:r>
        <w:rPr>
          <w:rFonts w:ascii="Times New Roman" w:hAnsi="Times New Roman" w:cs="Times New Roman"/>
          <w:sz w:val="24"/>
        </w:rPr>
        <w:t>协调第三方</w:t>
      </w:r>
      <w:r>
        <w:rPr>
          <w:rFonts w:ascii="Times New Roman" w:hAnsi="Times New Roman" w:cs="Times New Roman" w:hint="eastAsia"/>
          <w:sz w:val="24"/>
        </w:rPr>
        <w:t>”，也并不构成违约，</w:t>
      </w:r>
      <w:r>
        <w:rPr>
          <w:rFonts w:ascii="Times New Roman" w:hAnsi="Times New Roman" w:cs="Times New Roman" w:hint="eastAsia"/>
          <w:sz w:val="24"/>
        </w:rPr>
        <w:lastRenderedPageBreak/>
        <w:t>从而进入第二层次的特殊情形退出。</w:t>
      </w:r>
    </w:p>
    <w:p w14:paraId="55FA9947" w14:textId="77777777" w:rsidR="00BD3166" w:rsidRDefault="00C64679">
      <w:pPr>
        <w:spacing w:line="360" w:lineRule="auto"/>
        <w:ind w:firstLineChars="200" w:firstLine="482"/>
        <w:rPr>
          <w:rFonts w:ascii="Times New Roman" w:hAnsi="Times New Roman" w:cs="Times New Roman"/>
          <w:sz w:val="24"/>
        </w:rPr>
      </w:pPr>
      <w:r>
        <w:rPr>
          <w:rFonts w:ascii="Times New Roman" w:hAnsi="Times New Roman" w:cs="Times New Roman"/>
          <w:b/>
          <w:bCs/>
          <w:sz w:val="24"/>
        </w:rPr>
        <w:t>第二层次</w:t>
      </w:r>
      <w:r>
        <w:rPr>
          <w:rFonts w:ascii="Times New Roman" w:hAnsi="Times New Roman" w:cs="Times New Roman" w:hint="eastAsia"/>
          <w:b/>
          <w:bCs/>
          <w:sz w:val="24"/>
        </w:rPr>
        <w:t>：</w:t>
      </w:r>
      <w:r>
        <w:rPr>
          <w:rFonts w:ascii="Times New Roman" w:hAnsi="Times New Roman" w:cs="Times New Roman" w:hint="eastAsia"/>
          <w:sz w:val="24"/>
        </w:rPr>
        <w:t>在国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基金发出书面通知之日起</w:t>
      </w:r>
      <w:r>
        <w:rPr>
          <w:rFonts w:ascii="Times New Roman" w:hAnsi="Times New Roman" w:cs="Times New Roman" w:hint="eastAsia"/>
          <w:sz w:val="24"/>
        </w:rPr>
        <w:t>120</w:t>
      </w:r>
      <w:r>
        <w:rPr>
          <w:rFonts w:ascii="Times New Roman" w:hAnsi="Times New Roman" w:cs="Times New Roman" w:hint="eastAsia"/>
          <w:sz w:val="24"/>
        </w:rPr>
        <w:t>日后仍未退出，且持续超过</w:t>
      </w:r>
      <w:r>
        <w:rPr>
          <w:rFonts w:ascii="Times New Roman" w:hAnsi="Times New Roman" w:cs="Times New Roman" w:hint="eastAsia"/>
          <w:sz w:val="24"/>
        </w:rPr>
        <w:t>30</w:t>
      </w:r>
      <w:r>
        <w:rPr>
          <w:rFonts w:ascii="Times New Roman" w:hAnsi="Times New Roman" w:cs="Times New Roman" w:hint="eastAsia"/>
          <w:sz w:val="24"/>
        </w:rPr>
        <w:t>日，则有权进一步享有如下权利：</w:t>
      </w:r>
    </w:p>
    <w:p w14:paraId="09D70E37" w14:textId="03C917B2"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基金享有目标公司优先分红权，且基准股息率在</w:t>
      </w:r>
      <w:r>
        <w:rPr>
          <w:rFonts w:ascii="Times New Roman" w:hAnsi="Times New Roman" w:cs="Times New Roman" w:hint="eastAsia"/>
          <w:sz w:val="24"/>
        </w:rPr>
        <w:t>3.0%</w:t>
      </w:r>
      <w:r>
        <w:rPr>
          <w:rFonts w:ascii="Times New Roman" w:hAnsi="Times New Roman" w:cs="Times New Roman" w:hint="eastAsia"/>
          <w:sz w:val="24"/>
        </w:rPr>
        <w:t>的基础上每年跳升</w:t>
      </w:r>
      <w:r>
        <w:rPr>
          <w:rFonts w:ascii="Times New Roman" w:hAnsi="Times New Roman" w:cs="Times New Roman" w:hint="eastAsia"/>
          <w:sz w:val="24"/>
        </w:rPr>
        <w:t>200BP</w:t>
      </w:r>
      <w:r>
        <w:rPr>
          <w:rFonts w:ascii="Times New Roman" w:hAnsi="Times New Roman" w:cs="Times New Roman" w:hint="eastAsia"/>
          <w:sz w:val="24"/>
        </w:rPr>
        <w:t>，直至跳升至</w:t>
      </w:r>
      <w:r w:rsidR="00636848">
        <w:rPr>
          <w:rFonts w:ascii="Times New Roman" w:hAnsi="Times New Roman" w:cs="Times New Roman"/>
          <w:sz w:val="24"/>
        </w:rPr>
        <w:t>8</w:t>
      </w:r>
      <w:r>
        <w:rPr>
          <w:rFonts w:ascii="Times New Roman" w:hAnsi="Times New Roman" w:cs="Times New Roman" w:hint="eastAsia"/>
          <w:sz w:val="24"/>
        </w:rPr>
        <w:t>%</w:t>
      </w:r>
      <w:r>
        <w:rPr>
          <w:rFonts w:ascii="Times New Roman" w:hAnsi="Times New Roman" w:cs="Times New Roman" w:hint="eastAsia"/>
          <w:sz w:val="24"/>
        </w:rPr>
        <w:t>不再跳升；</w:t>
      </w:r>
    </w:p>
    <w:p w14:paraId="1A490A28"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）自触发收购情形后的</w:t>
      </w:r>
      <w:r>
        <w:rPr>
          <w:rFonts w:ascii="Times New Roman" w:hAnsi="Times New Roman" w:cs="Times New Roman" w:hint="eastAsia"/>
          <w:sz w:val="24"/>
        </w:rPr>
        <w:t>180</w:t>
      </w:r>
      <w:r>
        <w:rPr>
          <w:rFonts w:ascii="Times New Roman" w:hAnsi="Times New Roman" w:cs="Times New Roman" w:hint="eastAsia"/>
          <w:sz w:val="24"/>
        </w:rPr>
        <w:t>日内修改公司章程，并约定股东会、董事会全部决议事项需经全体股东、董事通过方视为</w:t>
      </w:r>
      <w:proofErr w:type="gramStart"/>
      <w:r>
        <w:rPr>
          <w:rFonts w:ascii="Times New Roman" w:hAnsi="Times New Roman" w:cs="Times New Roman" w:hint="eastAsia"/>
          <w:sz w:val="24"/>
        </w:rPr>
        <w:t>作出</w:t>
      </w:r>
      <w:proofErr w:type="gramEnd"/>
      <w:r>
        <w:rPr>
          <w:rFonts w:ascii="Times New Roman" w:hAnsi="Times New Roman" w:cs="Times New Roman" w:hint="eastAsia"/>
          <w:sz w:val="24"/>
        </w:rPr>
        <w:t>有效决议；</w:t>
      </w:r>
    </w:p>
    <w:p w14:paraId="7F176084" w14:textId="549EC076"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基金可对外转让股权，且此时甲方不再享有优先购买权。</w:t>
      </w:r>
    </w:p>
    <w:p w14:paraId="3EDEACCD" w14:textId="02A12270"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在第二层次下，上市公司及大唐半导体未能通过自身或“协调第三方”在国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基金发出通知后</w:t>
      </w:r>
      <w:r>
        <w:rPr>
          <w:rFonts w:ascii="Times New Roman" w:hAnsi="Times New Roman" w:cs="Times New Roman" w:hint="eastAsia"/>
          <w:sz w:val="24"/>
        </w:rPr>
        <w:t>120</w:t>
      </w:r>
      <w:r>
        <w:rPr>
          <w:rFonts w:ascii="Times New Roman" w:hAnsi="Times New Roman" w:cs="Times New Roman" w:hint="eastAsia"/>
          <w:sz w:val="24"/>
        </w:rPr>
        <w:t>日内收购其持有大唐微电子的股权。国新建新基金开始进一步享有分红利率跳升、以及可自主对外转让股权等权利。此处，国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基金若选择自主对外转让持有的目标公司股权，则公司“可以无条件的避免通过支付现金或其他金融资产来履行合同义务”。</w:t>
      </w:r>
      <w:proofErr w:type="gramStart"/>
      <w:r>
        <w:rPr>
          <w:rFonts w:ascii="Times New Roman" w:hAnsi="Times New Roman" w:cs="Times New Roman" w:hint="eastAsia"/>
          <w:sz w:val="24"/>
        </w:rPr>
        <w:t>若国新建信</w:t>
      </w:r>
      <w:proofErr w:type="gramEnd"/>
      <w:r>
        <w:rPr>
          <w:rFonts w:ascii="Times New Roman" w:hAnsi="Times New Roman" w:cs="Times New Roman" w:hint="eastAsia"/>
          <w:sz w:val="24"/>
        </w:rPr>
        <w:t>基金选择继续持有投资并享受分红利率跳升，那么协议约定的利率跳升相关条款“每年跳升</w:t>
      </w:r>
      <w:r>
        <w:rPr>
          <w:rFonts w:ascii="Times New Roman" w:hAnsi="Times New Roman" w:cs="Times New Roman" w:hint="eastAsia"/>
          <w:sz w:val="24"/>
        </w:rPr>
        <w:t>200BP</w:t>
      </w:r>
      <w:r>
        <w:rPr>
          <w:rFonts w:ascii="Times New Roman" w:hAnsi="Times New Roman" w:cs="Times New Roman" w:hint="eastAsia"/>
          <w:sz w:val="24"/>
        </w:rPr>
        <w:t>，直至跳升至</w:t>
      </w:r>
      <w:r>
        <w:rPr>
          <w:rFonts w:ascii="Times New Roman" w:hAnsi="Times New Roman" w:cs="Times New Roman" w:hint="eastAsia"/>
          <w:sz w:val="24"/>
        </w:rPr>
        <w:t>8%</w:t>
      </w:r>
      <w:r>
        <w:rPr>
          <w:rFonts w:ascii="Times New Roman" w:hAnsi="Times New Roman" w:cs="Times New Roman" w:hint="eastAsia"/>
          <w:sz w:val="24"/>
        </w:rPr>
        <w:t>”，依旧可实现公司“无条件的避免通过支付现金或其他金融资产来履行合同义务”，下文将进行具体论述。</w:t>
      </w:r>
    </w:p>
    <w:p w14:paraId="7F981042"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此外，公司章程修订、股东会及董事会决议机制变更及国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可对外自由转让股权的约定并不涉及公司“支付现金或其他金融资产”。因此，公司本次交易中对于投资退出安排的相关条款约定可实现“无条件的避免通过支付现金或其他金融资产来履行合同义务”的目的。</w:t>
      </w:r>
    </w:p>
    <w:p w14:paraId="07B4A160"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hint="eastAsia"/>
          <w:b/>
          <w:sz w:val="24"/>
        </w:rPr>
        <w:t>（</w:t>
      </w:r>
      <w:r>
        <w:rPr>
          <w:rFonts w:ascii="Times New Roman" w:hAnsi="Times New Roman" w:cs="Times New Roman"/>
          <w:b/>
          <w:sz w:val="24"/>
        </w:rPr>
        <w:t>3</w:t>
      </w:r>
      <w:r>
        <w:rPr>
          <w:rFonts w:ascii="Times New Roman" w:hAnsi="Times New Roman" w:cs="Times New Roman" w:hint="eastAsia"/>
          <w:b/>
          <w:sz w:val="24"/>
        </w:rPr>
        <w:t>）利率跳升</w:t>
      </w:r>
    </w:p>
    <w:p w14:paraId="379F9AD8"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对于利率跳升，首先根据</w:t>
      </w:r>
      <w:r>
        <w:rPr>
          <w:rFonts w:ascii="Times New Roman" w:eastAsia="宋体" w:hAnsi="Times New Roman" w:cs="Times New Roman" w:hint="eastAsia"/>
          <w:color w:val="000000"/>
          <w:sz w:val="24"/>
          <w:szCs w:val="24"/>
        </w:rPr>
        <w:t>财政部印发的《永续债相关会计处理的规定》（</w:t>
      </w:r>
      <w:r>
        <w:rPr>
          <w:rFonts w:ascii="Times New Roman" w:hAnsi="Times New Roman" w:cs="Times New Roman" w:hint="eastAsia"/>
          <w:sz w:val="24"/>
        </w:rPr>
        <w:t>财会</w:t>
      </w:r>
      <w:r>
        <w:rPr>
          <w:rFonts w:ascii="Times New Roman" w:hAnsi="Times New Roman" w:cs="Times New Roman" w:hint="eastAsia"/>
          <w:sz w:val="24"/>
        </w:rPr>
        <w:t>[2019]2</w:t>
      </w:r>
      <w:r>
        <w:rPr>
          <w:rFonts w:ascii="Times New Roman" w:hAnsi="Times New Roman" w:cs="Times New Roman" w:hint="eastAsia"/>
          <w:sz w:val="24"/>
        </w:rPr>
        <w:t>号）关于利率跳升和间接义务的相关规定，如果跳升次数有限、有最高票息限制（即“封顶”）且封顶利率未超过同期同行业同类型工具平均的利率水平，或者跳升总幅度较小且封顶利率未超过同期同行业同类型工具平均的利率水平，不构成间接义务。</w:t>
      </w:r>
    </w:p>
    <w:p w14:paraId="01042870" w14:textId="175424F3"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“每年跳升</w:t>
      </w:r>
      <w:r>
        <w:rPr>
          <w:rFonts w:ascii="Times New Roman" w:hAnsi="Times New Roman" w:cs="Times New Roman" w:hint="eastAsia"/>
          <w:sz w:val="24"/>
        </w:rPr>
        <w:t>200BP</w:t>
      </w:r>
      <w:r>
        <w:rPr>
          <w:rFonts w:ascii="Times New Roman" w:hAnsi="Times New Roman" w:cs="Times New Roman" w:hint="eastAsia"/>
          <w:sz w:val="24"/>
        </w:rPr>
        <w:t>，直至跳升至</w:t>
      </w:r>
      <w:r w:rsidR="00636848">
        <w:rPr>
          <w:rFonts w:ascii="Times New Roman" w:hAnsi="Times New Roman" w:cs="Times New Roman"/>
          <w:sz w:val="24"/>
        </w:rPr>
        <w:t>8</w:t>
      </w:r>
      <w:r>
        <w:rPr>
          <w:rFonts w:ascii="Times New Roman" w:hAnsi="Times New Roman" w:cs="Times New Roman" w:hint="eastAsia"/>
          <w:sz w:val="24"/>
        </w:rPr>
        <w:t>%</w:t>
      </w:r>
      <w:r>
        <w:rPr>
          <w:rFonts w:ascii="Times New Roman" w:hAnsi="Times New Roman" w:cs="Times New Roman" w:hint="eastAsia"/>
          <w:sz w:val="24"/>
        </w:rPr>
        <w:t>”说明利率跳升次数不超过</w:t>
      </w:r>
      <w:r w:rsidR="004D5703">
        <w:rPr>
          <w:rFonts w:ascii="Times New Roman" w:hAnsi="Times New Roman" w:cs="Times New Roman" w:hint="eastAsia"/>
          <w:sz w:val="24"/>
        </w:rPr>
        <w:t>3</w:t>
      </w:r>
      <w:r>
        <w:rPr>
          <w:rFonts w:ascii="Times New Roman" w:hAnsi="Times New Roman" w:cs="Times New Roman" w:hint="eastAsia"/>
          <w:sz w:val="24"/>
        </w:rPr>
        <w:t>次，且最高利息限制为</w:t>
      </w:r>
      <w:r w:rsidR="00636848">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sz w:val="24"/>
        </w:rPr>
        <w:t>。</w:t>
      </w:r>
    </w:p>
    <w:p w14:paraId="17900D9B" w14:textId="121A4A7C"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018</w:t>
      </w:r>
      <w:r>
        <w:rPr>
          <w:rFonts w:ascii="Times New Roman" w:hAnsi="Times New Roman" w:cs="Times New Roman"/>
          <w:sz w:val="24"/>
        </w:rPr>
        <w:t>年开始的本轮市场化债转股业务主要</w:t>
      </w:r>
      <w:r>
        <w:rPr>
          <w:rFonts w:ascii="Times New Roman" w:hAnsi="Times New Roman" w:cs="Times New Roman" w:hint="eastAsia"/>
          <w:sz w:val="24"/>
        </w:rPr>
        <w:t>集中在钢铁、煤炭、化工、装备</w:t>
      </w:r>
      <w:r>
        <w:rPr>
          <w:rFonts w:ascii="Times New Roman" w:hAnsi="Times New Roman" w:cs="Times New Roman" w:hint="eastAsia"/>
          <w:sz w:val="24"/>
        </w:rPr>
        <w:lastRenderedPageBreak/>
        <w:t>制造等行业，大唐微电子属于计算机、通信和其他电子设备制造业，公开信息暂未查询到该行业执行市场化债转股的案例。经参考同期同类型工具平均的利率水平，公司与国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基金约定的封顶利率未超过平均水平。</w:t>
      </w:r>
      <w:r w:rsidR="00020EDC">
        <w:rPr>
          <w:rFonts w:ascii="Times New Roman" w:hAnsi="Times New Roman" w:cs="Times New Roman" w:hint="eastAsia"/>
          <w:sz w:val="24"/>
        </w:rPr>
        <w:t>相关案例如下</w:t>
      </w:r>
      <w:r>
        <w:rPr>
          <w:rFonts w:ascii="Times New Roman" w:hAnsi="Times New Roman" w:cs="Times New Roman" w:hint="eastAsia"/>
          <w:sz w:val="24"/>
        </w:rPr>
        <w:t>：</w:t>
      </w:r>
    </w:p>
    <w:tbl>
      <w:tblPr>
        <w:tblStyle w:val="ab"/>
        <w:tblW w:w="5000" w:type="pct"/>
        <w:shd w:val="clear" w:color="auto" w:fill="FFFFFF" w:themeFill="background1"/>
        <w:tblLook w:val="04A0" w:firstRow="1" w:lastRow="0" w:firstColumn="1" w:lastColumn="0" w:noHBand="0" w:noVBand="1"/>
      </w:tblPr>
      <w:tblGrid>
        <w:gridCol w:w="4261"/>
        <w:gridCol w:w="4261"/>
      </w:tblGrid>
      <w:tr w:rsidR="00BD3166" w14:paraId="5724D61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00" w:type="pct"/>
            <w:shd w:val="clear" w:color="auto" w:fill="FFFFFF" w:themeFill="background1"/>
            <w:vAlign w:val="center"/>
          </w:tcPr>
          <w:p w14:paraId="0C66C0A4" w14:textId="77777777" w:rsidR="00BD3166" w:rsidRDefault="00C64679">
            <w:pPr>
              <w:jc w:val="center"/>
              <w:rPr>
                <w:color w:val="000000" w:themeColor="text1"/>
                <w:sz w:val="22"/>
              </w:rPr>
            </w:pPr>
            <w:r>
              <w:rPr>
                <w:rFonts w:hint="eastAsia"/>
                <w:color w:val="000000" w:themeColor="text1"/>
                <w:sz w:val="22"/>
              </w:rPr>
              <w:t>上市公司名称</w:t>
            </w:r>
          </w:p>
        </w:tc>
        <w:tc>
          <w:tcPr>
            <w:tcW w:w="2500" w:type="pct"/>
            <w:shd w:val="clear" w:color="auto" w:fill="FFFFFF" w:themeFill="background1"/>
            <w:vAlign w:val="center"/>
          </w:tcPr>
          <w:p w14:paraId="5CF8FD93" w14:textId="77777777" w:rsidR="00BD3166" w:rsidRDefault="00C64679">
            <w:pPr>
              <w:jc w:val="center"/>
              <w:cnfStyle w:val="100000000000" w:firstRow="1" w:lastRow="0" w:firstColumn="0" w:lastColumn="0" w:oddVBand="0" w:evenVBand="0" w:oddHBand="0" w:evenHBand="0" w:firstRowFirstColumn="0" w:firstRowLastColumn="0" w:lastRowFirstColumn="0" w:lastRowLastColumn="0"/>
              <w:rPr>
                <w:color w:val="000000" w:themeColor="text1"/>
                <w:sz w:val="22"/>
              </w:rPr>
            </w:pPr>
            <w:r>
              <w:rPr>
                <w:rFonts w:hint="eastAsia"/>
                <w:color w:val="000000" w:themeColor="text1"/>
                <w:sz w:val="22"/>
              </w:rPr>
              <w:t>利率跳升机制</w:t>
            </w:r>
          </w:p>
        </w:tc>
      </w:tr>
      <w:tr w:rsidR="00BD3166" w14:paraId="749C1200"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vAlign w:val="center"/>
          </w:tcPr>
          <w:p w14:paraId="3B3719A9" w14:textId="77777777" w:rsidR="00BD3166" w:rsidRDefault="00C64679">
            <w:pPr>
              <w:rPr>
                <w:color w:val="000000" w:themeColor="text1"/>
                <w:sz w:val="22"/>
              </w:rPr>
            </w:pPr>
            <w:r>
              <w:rPr>
                <w:rFonts w:hint="eastAsia"/>
                <w:color w:val="000000" w:themeColor="text1"/>
                <w:sz w:val="22"/>
              </w:rPr>
              <w:t>龙建股份（</w:t>
            </w:r>
            <w:r>
              <w:rPr>
                <w:rFonts w:hint="eastAsia"/>
                <w:color w:val="000000" w:themeColor="text1"/>
                <w:sz w:val="22"/>
              </w:rPr>
              <w:t>600853</w:t>
            </w:r>
            <w:r>
              <w:rPr>
                <w:rFonts w:hint="eastAsia"/>
                <w:color w:val="000000" w:themeColor="text1"/>
                <w:sz w:val="22"/>
              </w:rPr>
              <w:t>）</w:t>
            </w:r>
          </w:p>
        </w:tc>
        <w:tc>
          <w:tcPr>
            <w:tcW w:w="2500" w:type="pct"/>
            <w:shd w:val="clear" w:color="auto" w:fill="FFFFFF" w:themeFill="background1"/>
            <w:vAlign w:val="center"/>
          </w:tcPr>
          <w:p w14:paraId="4BE03D4A" w14:textId="77777777" w:rsidR="00BD3166" w:rsidRDefault="00C64679">
            <w:pPr>
              <w:spacing w:line="400" w:lineRule="atLeast"/>
              <w:cnfStyle w:val="000000000000" w:firstRow="0" w:lastRow="0" w:firstColumn="0" w:lastColumn="0" w:oddVBand="0" w:evenVBand="0" w:oddHBand="0" w:evenHBand="0" w:firstRowFirstColumn="0" w:firstRowLastColumn="0" w:lastRowFirstColumn="0" w:lastRowLastColumn="0"/>
              <w:rPr>
                <w:color w:val="000000" w:themeColor="text1"/>
                <w:sz w:val="22"/>
              </w:rPr>
            </w:pPr>
            <w:r>
              <w:rPr>
                <w:rFonts w:hint="eastAsia"/>
                <w:color w:val="000000" w:themeColor="text1"/>
                <w:sz w:val="22"/>
              </w:rPr>
              <w:t>每年跳升</w:t>
            </w:r>
            <w:r>
              <w:rPr>
                <w:color w:val="000000" w:themeColor="text1"/>
                <w:sz w:val="22"/>
              </w:rPr>
              <w:t>100bp</w:t>
            </w:r>
            <w:r>
              <w:rPr>
                <w:rFonts w:hint="eastAsia"/>
                <w:color w:val="000000" w:themeColor="text1"/>
                <w:sz w:val="22"/>
              </w:rPr>
              <w:t>，封顶</w:t>
            </w:r>
            <w:r>
              <w:rPr>
                <w:color w:val="000000" w:themeColor="text1"/>
                <w:sz w:val="22"/>
              </w:rPr>
              <w:t>12%</w:t>
            </w:r>
          </w:p>
        </w:tc>
      </w:tr>
      <w:tr w:rsidR="00BD3166" w14:paraId="1D1BDF34"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vAlign w:val="center"/>
          </w:tcPr>
          <w:p w14:paraId="226B8D34" w14:textId="77777777" w:rsidR="00BD3166" w:rsidRDefault="00C64679">
            <w:pPr>
              <w:rPr>
                <w:color w:val="000000" w:themeColor="text1"/>
                <w:sz w:val="22"/>
              </w:rPr>
            </w:pPr>
            <w:r>
              <w:rPr>
                <w:rFonts w:hint="eastAsia"/>
                <w:color w:val="000000" w:themeColor="text1"/>
                <w:sz w:val="22"/>
              </w:rPr>
              <w:t>西部建设（</w:t>
            </w:r>
            <w:r>
              <w:rPr>
                <w:rFonts w:hint="eastAsia"/>
                <w:color w:val="000000" w:themeColor="text1"/>
                <w:sz w:val="22"/>
              </w:rPr>
              <w:t>002302</w:t>
            </w:r>
            <w:r>
              <w:rPr>
                <w:rFonts w:hint="eastAsia"/>
                <w:color w:val="000000" w:themeColor="text1"/>
                <w:sz w:val="22"/>
              </w:rPr>
              <w:t>）</w:t>
            </w:r>
          </w:p>
        </w:tc>
        <w:tc>
          <w:tcPr>
            <w:tcW w:w="2500" w:type="pct"/>
            <w:shd w:val="clear" w:color="auto" w:fill="FFFFFF" w:themeFill="background1"/>
            <w:vAlign w:val="center"/>
          </w:tcPr>
          <w:p w14:paraId="1314B978" w14:textId="77777777" w:rsidR="00BD3166" w:rsidRDefault="00C64679">
            <w:pPr>
              <w:spacing w:line="400" w:lineRule="atLeast"/>
              <w:cnfStyle w:val="000000000000" w:firstRow="0" w:lastRow="0" w:firstColumn="0" w:lastColumn="0" w:oddVBand="0" w:evenVBand="0" w:oddHBand="0" w:evenHBand="0" w:firstRowFirstColumn="0" w:firstRowLastColumn="0" w:lastRowFirstColumn="0" w:lastRowLastColumn="0"/>
              <w:rPr>
                <w:color w:val="000000" w:themeColor="text1"/>
                <w:sz w:val="22"/>
              </w:rPr>
            </w:pPr>
            <w:r>
              <w:rPr>
                <w:rFonts w:hint="eastAsia"/>
                <w:color w:val="000000" w:themeColor="text1"/>
                <w:sz w:val="22"/>
              </w:rPr>
              <w:t>每年跳升</w:t>
            </w:r>
            <w:r>
              <w:rPr>
                <w:color w:val="000000" w:themeColor="text1"/>
                <w:sz w:val="22"/>
              </w:rPr>
              <w:t>100</w:t>
            </w:r>
            <w:r>
              <w:rPr>
                <w:rFonts w:hint="eastAsia"/>
                <w:color w:val="000000" w:themeColor="text1"/>
                <w:sz w:val="22"/>
              </w:rPr>
              <w:t>bp</w:t>
            </w:r>
            <w:r>
              <w:rPr>
                <w:rFonts w:hint="eastAsia"/>
                <w:color w:val="000000" w:themeColor="text1"/>
                <w:sz w:val="22"/>
              </w:rPr>
              <w:t>，封顶</w:t>
            </w:r>
            <w:r>
              <w:rPr>
                <w:color w:val="000000" w:themeColor="text1"/>
                <w:sz w:val="22"/>
              </w:rPr>
              <w:t>8.8%</w:t>
            </w:r>
          </w:p>
        </w:tc>
      </w:tr>
      <w:tr w:rsidR="00BD3166" w14:paraId="2E5C62C6"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vAlign w:val="center"/>
          </w:tcPr>
          <w:p w14:paraId="514E809E" w14:textId="77777777" w:rsidR="00BD3166" w:rsidRDefault="00C64679">
            <w:pPr>
              <w:rPr>
                <w:color w:val="000000" w:themeColor="text1"/>
                <w:sz w:val="22"/>
              </w:rPr>
            </w:pPr>
            <w:r>
              <w:rPr>
                <w:rFonts w:hint="eastAsia"/>
                <w:color w:val="000000" w:themeColor="text1"/>
                <w:sz w:val="22"/>
              </w:rPr>
              <w:t>华北制药（</w:t>
            </w:r>
            <w:r>
              <w:rPr>
                <w:rFonts w:hint="eastAsia"/>
                <w:color w:val="000000" w:themeColor="text1"/>
                <w:sz w:val="22"/>
              </w:rPr>
              <w:t>600812</w:t>
            </w:r>
            <w:r>
              <w:rPr>
                <w:rFonts w:hint="eastAsia"/>
                <w:color w:val="000000" w:themeColor="text1"/>
                <w:sz w:val="22"/>
              </w:rPr>
              <w:t>）</w:t>
            </w:r>
          </w:p>
        </w:tc>
        <w:tc>
          <w:tcPr>
            <w:tcW w:w="2500" w:type="pct"/>
            <w:shd w:val="clear" w:color="auto" w:fill="FFFFFF" w:themeFill="background1"/>
            <w:vAlign w:val="center"/>
          </w:tcPr>
          <w:p w14:paraId="4BA9061D" w14:textId="77777777" w:rsidR="00BD3166" w:rsidRDefault="00C64679">
            <w:pPr>
              <w:spacing w:line="400" w:lineRule="atLeast"/>
              <w:cnfStyle w:val="000000000000" w:firstRow="0" w:lastRow="0" w:firstColumn="0" w:lastColumn="0" w:oddVBand="0" w:evenVBand="0" w:oddHBand="0" w:evenHBand="0" w:firstRowFirstColumn="0" w:firstRowLastColumn="0" w:lastRowFirstColumn="0" w:lastRowLastColumn="0"/>
              <w:rPr>
                <w:color w:val="000000" w:themeColor="text1"/>
                <w:sz w:val="22"/>
              </w:rPr>
            </w:pPr>
            <w:r>
              <w:rPr>
                <w:rFonts w:hint="eastAsia"/>
                <w:color w:val="000000" w:themeColor="text1"/>
                <w:sz w:val="22"/>
              </w:rPr>
              <w:t>每年跳升</w:t>
            </w:r>
            <w:r>
              <w:rPr>
                <w:color w:val="000000" w:themeColor="text1"/>
                <w:sz w:val="22"/>
              </w:rPr>
              <w:t>200</w:t>
            </w:r>
            <w:r>
              <w:rPr>
                <w:rFonts w:hint="eastAsia"/>
                <w:color w:val="000000" w:themeColor="text1"/>
                <w:sz w:val="22"/>
              </w:rPr>
              <w:t>bp</w:t>
            </w:r>
            <w:r>
              <w:rPr>
                <w:rFonts w:hint="eastAsia"/>
                <w:color w:val="000000" w:themeColor="text1"/>
                <w:sz w:val="22"/>
              </w:rPr>
              <w:t>，封顶</w:t>
            </w:r>
            <w:r>
              <w:rPr>
                <w:color w:val="000000" w:themeColor="text1"/>
                <w:sz w:val="22"/>
              </w:rPr>
              <w:t>10.2%</w:t>
            </w:r>
          </w:p>
        </w:tc>
      </w:tr>
      <w:tr w:rsidR="00BD3166" w14:paraId="41F023F7"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vAlign w:val="center"/>
          </w:tcPr>
          <w:p w14:paraId="29461069" w14:textId="77777777" w:rsidR="00BD3166" w:rsidRDefault="00C64679">
            <w:pPr>
              <w:rPr>
                <w:color w:val="000000" w:themeColor="text1"/>
                <w:sz w:val="22"/>
              </w:rPr>
            </w:pPr>
            <w:r>
              <w:rPr>
                <w:rFonts w:hint="eastAsia"/>
                <w:color w:val="000000" w:themeColor="text1"/>
                <w:sz w:val="22"/>
              </w:rPr>
              <w:t>山东黄金（</w:t>
            </w:r>
            <w:r>
              <w:rPr>
                <w:rFonts w:hint="eastAsia"/>
                <w:color w:val="000000" w:themeColor="text1"/>
                <w:sz w:val="22"/>
              </w:rPr>
              <w:t>600547</w:t>
            </w:r>
            <w:r>
              <w:rPr>
                <w:rFonts w:hint="eastAsia"/>
                <w:color w:val="000000" w:themeColor="text1"/>
                <w:sz w:val="22"/>
              </w:rPr>
              <w:t>）</w:t>
            </w:r>
          </w:p>
        </w:tc>
        <w:tc>
          <w:tcPr>
            <w:tcW w:w="2500" w:type="pct"/>
            <w:shd w:val="clear" w:color="auto" w:fill="FFFFFF" w:themeFill="background1"/>
            <w:vAlign w:val="center"/>
          </w:tcPr>
          <w:p w14:paraId="7FF054BF" w14:textId="77777777" w:rsidR="00BD3166" w:rsidRDefault="00C64679">
            <w:pPr>
              <w:spacing w:line="400" w:lineRule="atLeast"/>
              <w:cnfStyle w:val="000000000000" w:firstRow="0" w:lastRow="0" w:firstColumn="0" w:lastColumn="0" w:oddVBand="0" w:evenVBand="0" w:oddHBand="0" w:evenHBand="0" w:firstRowFirstColumn="0" w:firstRowLastColumn="0" w:lastRowFirstColumn="0" w:lastRowLastColumn="0"/>
              <w:rPr>
                <w:color w:val="000000" w:themeColor="text1"/>
                <w:sz w:val="22"/>
              </w:rPr>
            </w:pPr>
            <w:r>
              <w:rPr>
                <w:rFonts w:hint="eastAsia"/>
                <w:color w:val="000000" w:themeColor="text1"/>
                <w:sz w:val="22"/>
              </w:rPr>
              <w:t>每年跳升</w:t>
            </w:r>
            <w:r>
              <w:rPr>
                <w:color w:val="000000" w:themeColor="text1"/>
                <w:sz w:val="22"/>
              </w:rPr>
              <w:t>100bp</w:t>
            </w:r>
            <w:r>
              <w:rPr>
                <w:rFonts w:hint="eastAsia"/>
                <w:color w:val="000000" w:themeColor="text1"/>
                <w:sz w:val="22"/>
              </w:rPr>
              <w:t>，封顶</w:t>
            </w:r>
            <w:r>
              <w:rPr>
                <w:color w:val="000000" w:themeColor="text1"/>
                <w:sz w:val="22"/>
              </w:rPr>
              <w:t>8%</w:t>
            </w:r>
          </w:p>
        </w:tc>
      </w:tr>
      <w:tr w:rsidR="00BD3166" w14:paraId="359E7690"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vAlign w:val="center"/>
          </w:tcPr>
          <w:p w14:paraId="34A088E2" w14:textId="77777777" w:rsidR="00BD3166" w:rsidRDefault="00C64679">
            <w:pPr>
              <w:rPr>
                <w:color w:val="000000" w:themeColor="text1"/>
                <w:sz w:val="22"/>
              </w:rPr>
            </w:pPr>
            <w:r>
              <w:rPr>
                <w:rFonts w:hint="eastAsia"/>
                <w:color w:val="000000" w:themeColor="text1"/>
                <w:sz w:val="22"/>
              </w:rPr>
              <w:t>合力泰（</w:t>
            </w:r>
            <w:r>
              <w:rPr>
                <w:rFonts w:hint="eastAsia"/>
                <w:color w:val="000000" w:themeColor="text1"/>
                <w:sz w:val="22"/>
              </w:rPr>
              <w:t>002217</w:t>
            </w:r>
            <w:r>
              <w:rPr>
                <w:rFonts w:hint="eastAsia"/>
                <w:color w:val="000000" w:themeColor="text1"/>
                <w:sz w:val="22"/>
              </w:rPr>
              <w:t>）</w:t>
            </w:r>
          </w:p>
        </w:tc>
        <w:tc>
          <w:tcPr>
            <w:tcW w:w="2500" w:type="pct"/>
            <w:shd w:val="clear" w:color="auto" w:fill="FFFFFF" w:themeFill="background1"/>
            <w:vAlign w:val="center"/>
          </w:tcPr>
          <w:p w14:paraId="0DB00AE4" w14:textId="77777777" w:rsidR="00BD3166" w:rsidRDefault="00C64679">
            <w:pPr>
              <w:spacing w:line="400" w:lineRule="atLeast"/>
              <w:cnfStyle w:val="000000000000" w:firstRow="0" w:lastRow="0" w:firstColumn="0" w:lastColumn="0" w:oddVBand="0" w:evenVBand="0" w:oddHBand="0" w:evenHBand="0" w:firstRowFirstColumn="0" w:firstRowLastColumn="0" w:lastRowFirstColumn="0" w:lastRowLastColumn="0"/>
              <w:rPr>
                <w:color w:val="000000" w:themeColor="text1"/>
                <w:sz w:val="22"/>
              </w:rPr>
            </w:pPr>
            <w:r>
              <w:rPr>
                <w:rFonts w:hint="eastAsia"/>
                <w:color w:val="000000" w:themeColor="text1"/>
                <w:sz w:val="22"/>
              </w:rPr>
              <w:t>跳升后</w:t>
            </w:r>
            <w:proofErr w:type="gramStart"/>
            <w:r>
              <w:rPr>
                <w:rFonts w:hint="eastAsia"/>
                <w:color w:val="000000" w:themeColor="text1"/>
                <w:sz w:val="22"/>
              </w:rPr>
              <w:t>的年化收益率</w:t>
            </w:r>
            <w:proofErr w:type="gramEnd"/>
            <w:r>
              <w:rPr>
                <w:rFonts w:hint="eastAsia"/>
                <w:color w:val="000000" w:themeColor="text1"/>
                <w:sz w:val="22"/>
              </w:rPr>
              <w:t>不超过中国人民银行</w:t>
            </w:r>
            <w:r>
              <w:rPr>
                <w:rFonts w:hint="eastAsia"/>
                <w:color w:val="000000" w:themeColor="text1"/>
                <w:sz w:val="22"/>
              </w:rPr>
              <w:t>3</w:t>
            </w:r>
            <w:r>
              <w:rPr>
                <w:rFonts w:hint="eastAsia"/>
                <w:color w:val="000000" w:themeColor="text1"/>
                <w:sz w:val="22"/>
              </w:rPr>
              <w:t>年</w:t>
            </w:r>
            <w:proofErr w:type="gramStart"/>
            <w:r>
              <w:rPr>
                <w:rFonts w:hint="eastAsia"/>
                <w:color w:val="000000" w:themeColor="text1"/>
                <w:sz w:val="22"/>
              </w:rPr>
              <w:t>期贷</w:t>
            </w:r>
            <w:proofErr w:type="gramEnd"/>
            <w:r>
              <w:rPr>
                <w:rFonts w:hint="eastAsia"/>
                <w:color w:val="000000" w:themeColor="text1"/>
                <w:sz w:val="22"/>
              </w:rPr>
              <w:t>款利率（</w:t>
            </w:r>
            <w:r>
              <w:rPr>
                <w:rFonts w:hint="eastAsia"/>
                <w:color w:val="000000" w:themeColor="text1"/>
                <w:sz w:val="22"/>
              </w:rPr>
              <w:t>4.35%</w:t>
            </w:r>
            <w:r>
              <w:rPr>
                <w:rFonts w:hint="eastAsia"/>
                <w:color w:val="000000" w:themeColor="text1"/>
                <w:sz w:val="22"/>
              </w:rPr>
              <w:t>）的四倍。</w:t>
            </w:r>
          </w:p>
        </w:tc>
      </w:tr>
      <w:tr w:rsidR="00BD3166" w14:paraId="720BF2C3"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vAlign w:val="center"/>
          </w:tcPr>
          <w:p w14:paraId="1B3752D3" w14:textId="77777777" w:rsidR="00BD3166" w:rsidRDefault="00C64679">
            <w:pPr>
              <w:rPr>
                <w:color w:val="000000" w:themeColor="text1"/>
                <w:sz w:val="22"/>
              </w:rPr>
            </w:pPr>
            <w:r>
              <w:rPr>
                <w:rFonts w:hint="eastAsia"/>
                <w:color w:val="000000" w:themeColor="text1"/>
                <w:sz w:val="22"/>
              </w:rPr>
              <w:t>上海电气（</w:t>
            </w:r>
            <w:r>
              <w:rPr>
                <w:rFonts w:hint="eastAsia"/>
                <w:color w:val="000000" w:themeColor="text1"/>
                <w:sz w:val="22"/>
              </w:rPr>
              <w:t>601727</w:t>
            </w:r>
            <w:r>
              <w:rPr>
                <w:rFonts w:hint="eastAsia"/>
                <w:color w:val="000000" w:themeColor="text1"/>
                <w:sz w:val="22"/>
              </w:rPr>
              <w:t>）</w:t>
            </w:r>
          </w:p>
        </w:tc>
        <w:tc>
          <w:tcPr>
            <w:tcW w:w="2500" w:type="pct"/>
            <w:shd w:val="clear" w:color="auto" w:fill="FFFFFF" w:themeFill="background1"/>
            <w:vAlign w:val="center"/>
          </w:tcPr>
          <w:p w14:paraId="34711A55" w14:textId="77777777" w:rsidR="00BD3166" w:rsidRDefault="00C64679">
            <w:pPr>
              <w:spacing w:line="400" w:lineRule="atLeast"/>
              <w:cnfStyle w:val="000000000000" w:firstRow="0" w:lastRow="0" w:firstColumn="0" w:lastColumn="0" w:oddVBand="0" w:evenVBand="0" w:oddHBand="0" w:evenHBand="0" w:firstRowFirstColumn="0" w:firstRowLastColumn="0" w:lastRowFirstColumn="0" w:lastRowLastColumn="0"/>
              <w:rPr>
                <w:color w:val="000000" w:themeColor="text1"/>
                <w:sz w:val="22"/>
              </w:rPr>
            </w:pPr>
            <w:r>
              <w:rPr>
                <w:rFonts w:hint="eastAsia"/>
                <w:color w:val="000000" w:themeColor="text1"/>
                <w:sz w:val="22"/>
              </w:rPr>
              <w:t>跳升后</w:t>
            </w:r>
            <w:proofErr w:type="gramStart"/>
            <w:r>
              <w:rPr>
                <w:rFonts w:hint="eastAsia"/>
                <w:color w:val="000000" w:themeColor="text1"/>
                <w:sz w:val="22"/>
              </w:rPr>
              <w:t>的年化收益率</w:t>
            </w:r>
            <w:proofErr w:type="gramEnd"/>
            <w:r>
              <w:rPr>
                <w:rFonts w:hint="eastAsia"/>
                <w:color w:val="000000" w:themeColor="text1"/>
                <w:sz w:val="22"/>
              </w:rPr>
              <w:t>不超过人民银行</w:t>
            </w:r>
            <w:r>
              <w:rPr>
                <w:rFonts w:hint="eastAsia"/>
                <w:color w:val="000000" w:themeColor="text1"/>
                <w:sz w:val="22"/>
              </w:rPr>
              <w:t>5</w:t>
            </w:r>
            <w:r>
              <w:rPr>
                <w:rFonts w:hint="eastAsia"/>
                <w:color w:val="000000" w:themeColor="text1"/>
                <w:sz w:val="22"/>
              </w:rPr>
              <w:t>年</w:t>
            </w:r>
            <w:proofErr w:type="gramStart"/>
            <w:r>
              <w:rPr>
                <w:rFonts w:hint="eastAsia"/>
                <w:color w:val="000000" w:themeColor="text1"/>
                <w:sz w:val="22"/>
              </w:rPr>
              <w:t>期贷</w:t>
            </w:r>
            <w:proofErr w:type="gramEnd"/>
            <w:r>
              <w:rPr>
                <w:rFonts w:hint="eastAsia"/>
                <w:color w:val="000000" w:themeColor="text1"/>
                <w:sz w:val="22"/>
              </w:rPr>
              <w:t>款利率（</w:t>
            </w:r>
            <w:r>
              <w:rPr>
                <w:rFonts w:hint="eastAsia"/>
                <w:color w:val="000000" w:themeColor="text1"/>
                <w:sz w:val="22"/>
              </w:rPr>
              <w:t>4.75%</w:t>
            </w:r>
            <w:r>
              <w:rPr>
                <w:rFonts w:hint="eastAsia"/>
                <w:color w:val="000000" w:themeColor="text1"/>
                <w:sz w:val="22"/>
              </w:rPr>
              <w:t>）的</w:t>
            </w:r>
            <w:r>
              <w:rPr>
                <w:rFonts w:hint="eastAsia"/>
                <w:color w:val="000000" w:themeColor="text1"/>
                <w:sz w:val="22"/>
              </w:rPr>
              <w:t>2</w:t>
            </w:r>
            <w:r>
              <w:rPr>
                <w:rFonts w:hint="eastAsia"/>
                <w:color w:val="000000" w:themeColor="text1"/>
                <w:sz w:val="22"/>
              </w:rPr>
              <w:t>倍。</w:t>
            </w:r>
          </w:p>
        </w:tc>
      </w:tr>
      <w:tr w:rsidR="00BD3166" w14:paraId="008C3BA8"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vAlign w:val="center"/>
          </w:tcPr>
          <w:p w14:paraId="4F6D1268" w14:textId="77777777" w:rsidR="00BD3166" w:rsidRDefault="00C64679">
            <w:pPr>
              <w:rPr>
                <w:color w:val="000000" w:themeColor="text1"/>
                <w:sz w:val="22"/>
              </w:rPr>
            </w:pPr>
            <w:r>
              <w:rPr>
                <w:rFonts w:hint="eastAsia"/>
                <w:color w:val="000000" w:themeColor="text1"/>
                <w:sz w:val="22"/>
              </w:rPr>
              <w:t>上海电力（</w:t>
            </w:r>
            <w:r>
              <w:rPr>
                <w:rFonts w:hint="eastAsia"/>
                <w:color w:val="000000" w:themeColor="text1"/>
                <w:sz w:val="22"/>
              </w:rPr>
              <w:t>600021</w:t>
            </w:r>
            <w:r>
              <w:rPr>
                <w:rFonts w:hint="eastAsia"/>
                <w:color w:val="000000" w:themeColor="text1"/>
                <w:sz w:val="22"/>
              </w:rPr>
              <w:t>）</w:t>
            </w:r>
          </w:p>
        </w:tc>
        <w:tc>
          <w:tcPr>
            <w:tcW w:w="2500" w:type="pct"/>
            <w:shd w:val="clear" w:color="auto" w:fill="FFFFFF" w:themeFill="background1"/>
            <w:vAlign w:val="center"/>
          </w:tcPr>
          <w:p w14:paraId="26680B75" w14:textId="77777777" w:rsidR="00BD3166" w:rsidRDefault="00C64679">
            <w:pPr>
              <w:spacing w:line="400" w:lineRule="atLeast"/>
              <w:cnfStyle w:val="000000000000" w:firstRow="0" w:lastRow="0" w:firstColumn="0" w:lastColumn="0" w:oddVBand="0" w:evenVBand="0" w:oddHBand="0" w:evenHBand="0" w:firstRowFirstColumn="0" w:firstRowLastColumn="0" w:lastRowFirstColumn="0" w:lastRowLastColumn="0"/>
              <w:rPr>
                <w:color w:val="000000" w:themeColor="text1"/>
                <w:sz w:val="22"/>
              </w:rPr>
            </w:pPr>
            <w:r>
              <w:rPr>
                <w:rFonts w:hint="eastAsia"/>
                <w:color w:val="000000" w:themeColor="text1"/>
                <w:sz w:val="22"/>
              </w:rPr>
              <w:t>跳升后</w:t>
            </w:r>
            <w:proofErr w:type="gramStart"/>
            <w:r>
              <w:rPr>
                <w:rFonts w:hint="eastAsia"/>
                <w:color w:val="000000" w:themeColor="text1"/>
                <w:sz w:val="22"/>
              </w:rPr>
              <w:t>的年化收益率</w:t>
            </w:r>
            <w:proofErr w:type="gramEnd"/>
            <w:r>
              <w:rPr>
                <w:rFonts w:hint="eastAsia"/>
                <w:color w:val="000000" w:themeColor="text1"/>
                <w:sz w:val="22"/>
              </w:rPr>
              <w:t>不超过人民银行同期贷款利率的</w:t>
            </w:r>
            <w:r>
              <w:rPr>
                <w:rFonts w:hint="eastAsia"/>
                <w:color w:val="000000" w:themeColor="text1"/>
                <w:sz w:val="22"/>
              </w:rPr>
              <w:t>4</w:t>
            </w:r>
            <w:r>
              <w:rPr>
                <w:rFonts w:hint="eastAsia"/>
                <w:color w:val="000000" w:themeColor="text1"/>
                <w:sz w:val="22"/>
              </w:rPr>
              <w:t>倍。</w:t>
            </w:r>
          </w:p>
        </w:tc>
      </w:tr>
    </w:tbl>
    <w:p w14:paraId="20CC4116"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且根据协议约定，即使利率跳升后，公司最终的利润分配方案依旧将以股东会决策为准，公司不存在“支付现金或其他金融资产”的义务。</w:t>
      </w:r>
    </w:p>
    <w:p w14:paraId="56E9BBB6" w14:textId="176429D8"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其次，公司目前的融资方式主要为银行短期借款及融资租赁，对于</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年期的银行短期借款，公司的</w:t>
      </w:r>
      <w:r w:rsidR="00C960C7">
        <w:rPr>
          <w:rFonts w:ascii="Times New Roman" w:eastAsia="宋体" w:hAnsi="Times New Roman" w:cs="Times New Roman" w:hint="eastAsia"/>
          <w:color w:val="000000"/>
          <w:sz w:val="24"/>
          <w:szCs w:val="24"/>
        </w:rPr>
        <w:t>借款利率</w:t>
      </w:r>
      <w:r>
        <w:rPr>
          <w:rFonts w:ascii="Times New Roman" w:eastAsia="宋体" w:hAnsi="Times New Roman" w:cs="Times New Roman" w:hint="eastAsia"/>
          <w:color w:val="000000"/>
          <w:sz w:val="24"/>
          <w:szCs w:val="24"/>
        </w:rPr>
        <w:t>在</w:t>
      </w:r>
      <w:r>
        <w:rPr>
          <w:rFonts w:ascii="Times New Roman" w:eastAsia="宋体" w:hAnsi="Times New Roman" w:cs="Times New Roman" w:hint="eastAsia"/>
          <w:color w:val="000000"/>
          <w:sz w:val="24"/>
          <w:szCs w:val="24"/>
        </w:rPr>
        <w:t>4.</w:t>
      </w:r>
      <w:r w:rsidR="00C960C7">
        <w:rPr>
          <w:rFonts w:ascii="Times New Roman" w:eastAsia="宋体" w:hAnsi="Times New Roman" w:cs="Times New Roman"/>
          <w:color w:val="000000"/>
          <w:sz w:val="24"/>
          <w:szCs w:val="24"/>
        </w:rPr>
        <w:t>35</w:t>
      </w:r>
      <w:r>
        <w:rPr>
          <w:rFonts w:ascii="Times New Roman" w:eastAsia="宋体" w:hAnsi="Times New Roman" w:cs="Times New Roman" w:hint="eastAsia"/>
          <w:color w:val="000000"/>
          <w:sz w:val="24"/>
          <w:szCs w:val="24"/>
        </w:rPr>
        <w:t>%-4.785%</w:t>
      </w:r>
      <w:r>
        <w:rPr>
          <w:rFonts w:ascii="Times New Roman" w:eastAsia="宋体" w:hAnsi="Times New Roman" w:cs="Times New Roman" w:hint="eastAsia"/>
          <w:color w:val="000000"/>
          <w:sz w:val="24"/>
          <w:szCs w:val="24"/>
        </w:rPr>
        <w:t>之间，而对于公司正在进行的金额</w:t>
      </w:r>
      <w:r>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亿元的</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年期融资租赁，经测算公司的</w:t>
      </w:r>
      <w:r w:rsidR="00C960C7">
        <w:rPr>
          <w:rFonts w:ascii="Times New Roman" w:eastAsia="宋体" w:hAnsi="Times New Roman" w:cs="Times New Roman" w:hint="eastAsia"/>
          <w:color w:val="000000"/>
          <w:sz w:val="24"/>
          <w:szCs w:val="24"/>
        </w:rPr>
        <w:t>实际利率</w:t>
      </w:r>
      <w:r>
        <w:rPr>
          <w:rFonts w:ascii="Times New Roman" w:eastAsia="宋体" w:hAnsi="Times New Roman" w:cs="Times New Roman" w:hint="eastAsia"/>
          <w:color w:val="000000"/>
          <w:sz w:val="24"/>
          <w:szCs w:val="24"/>
        </w:rPr>
        <w:t>为</w:t>
      </w:r>
      <w:r>
        <w:rPr>
          <w:rFonts w:ascii="Times New Roman" w:eastAsia="宋体" w:hAnsi="Times New Roman" w:cs="Times New Roman" w:hint="eastAsia"/>
          <w:color w:val="000000"/>
          <w:sz w:val="24"/>
          <w:szCs w:val="24"/>
        </w:rPr>
        <w:t>7.91%</w:t>
      </w:r>
      <w:r>
        <w:rPr>
          <w:rFonts w:ascii="Times New Roman" w:eastAsia="宋体" w:hAnsi="Times New Roman" w:cs="Times New Roman" w:hint="eastAsia"/>
          <w:color w:val="000000"/>
          <w:sz w:val="24"/>
          <w:szCs w:val="24"/>
        </w:rPr>
        <w:t>。本次交易中</w:t>
      </w:r>
      <w:proofErr w:type="gramStart"/>
      <w:r>
        <w:rPr>
          <w:rFonts w:ascii="Times New Roman" w:eastAsia="宋体" w:hAnsi="Times New Roman" w:cs="Times New Roman" w:hint="eastAsia"/>
          <w:color w:val="000000"/>
          <w:sz w:val="24"/>
          <w:szCs w:val="24"/>
        </w:rPr>
        <w:t>约定国新建信</w:t>
      </w:r>
      <w:proofErr w:type="gramEnd"/>
      <w:r>
        <w:rPr>
          <w:rFonts w:ascii="Times New Roman" w:eastAsia="宋体" w:hAnsi="Times New Roman" w:cs="Times New Roman" w:hint="eastAsia"/>
          <w:color w:val="000000"/>
          <w:sz w:val="24"/>
          <w:szCs w:val="24"/>
        </w:rPr>
        <w:t>基金享有</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的基准股息率，即使后续触发协议约定的特殊情形，公司未能协调第三方完成国新建新基金股权的退出，基准股息率跳升至</w:t>
      </w:r>
      <w:r>
        <w:rPr>
          <w:rFonts w:ascii="Times New Roman" w:eastAsia="宋体" w:hAnsi="Times New Roman" w:cs="Times New Roman" w:hint="eastAsia"/>
          <w:color w:val="000000"/>
          <w:sz w:val="24"/>
          <w:szCs w:val="24"/>
        </w:rPr>
        <w:t>8%</w:t>
      </w:r>
      <w:r>
        <w:rPr>
          <w:rFonts w:ascii="Times New Roman" w:eastAsia="宋体" w:hAnsi="Times New Roman" w:cs="Times New Roman" w:hint="eastAsia"/>
          <w:color w:val="000000"/>
          <w:sz w:val="24"/>
          <w:szCs w:val="24"/>
        </w:rPr>
        <w:t>。与公司现有的其他融资成本相比，依旧属于公司可以承受的范围，况且最终利润分配方案依旧需要大唐微电子股东会审议通过，公司并不会迫于</w:t>
      </w:r>
      <w:r>
        <w:rPr>
          <w:rFonts w:ascii="Times New Roman" w:eastAsia="宋体" w:hAnsi="Times New Roman" w:cs="Times New Roman" w:hint="eastAsia"/>
          <w:color w:val="000000"/>
          <w:sz w:val="24"/>
          <w:szCs w:val="24"/>
        </w:rPr>
        <w:t>8%</w:t>
      </w:r>
      <w:r>
        <w:rPr>
          <w:rFonts w:ascii="Times New Roman" w:eastAsia="宋体" w:hAnsi="Times New Roman" w:cs="Times New Roman" w:hint="eastAsia"/>
          <w:color w:val="000000"/>
          <w:sz w:val="24"/>
          <w:szCs w:val="24"/>
        </w:rPr>
        <w:t>的股息率而对国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基金的股权进行回购。</w:t>
      </w:r>
    </w:p>
    <w:p w14:paraId="5FD32356" w14:textId="78A5F658"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因此，公司本次交易中对于利率跳升的相关条款约定可实现公司“无条件的避免通过支付现金或其他金融资产来履行合同义务”的目的。</w:t>
      </w:r>
    </w:p>
    <w:p w14:paraId="41FF7B80" w14:textId="11E874A0" w:rsidR="00BD3166" w:rsidRDefault="00C64679">
      <w:pPr>
        <w:spacing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w:t>
      </w:r>
      <w:r>
        <w:rPr>
          <w:rFonts w:ascii="Times New Roman" w:eastAsia="宋体" w:hAnsi="Times New Roman" w:cs="Times New Roman"/>
          <w:b/>
          <w:color w:val="000000"/>
          <w:sz w:val="24"/>
          <w:szCs w:val="24"/>
        </w:rPr>
        <w:t>4</w:t>
      </w:r>
      <w:r>
        <w:rPr>
          <w:rFonts w:ascii="Times New Roman" w:eastAsia="宋体" w:hAnsi="Times New Roman" w:cs="Times New Roman" w:hint="eastAsia"/>
          <w:b/>
          <w:color w:val="000000"/>
          <w:sz w:val="24"/>
          <w:szCs w:val="24"/>
        </w:rPr>
        <w:t>）关于到期日</w:t>
      </w:r>
    </w:p>
    <w:p w14:paraId="0131AE80"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2019</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28</w:t>
      </w:r>
      <w:r>
        <w:rPr>
          <w:rFonts w:ascii="Times New Roman" w:eastAsia="宋体" w:hAnsi="Times New Roman" w:cs="Times New Roman" w:hint="eastAsia"/>
          <w:color w:val="000000"/>
          <w:sz w:val="24"/>
          <w:szCs w:val="24"/>
        </w:rPr>
        <w:t>日，财政部印发的《永续债相关会计处理的规定》（财会</w:t>
      </w:r>
      <w:r>
        <w:rPr>
          <w:rFonts w:ascii="Times New Roman" w:eastAsia="宋体" w:hAnsi="Times New Roman" w:cs="Times New Roman" w:hint="eastAsia"/>
          <w:color w:val="000000"/>
          <w:sz w:val="24"/>
          <w:szCs w:val="24"/>
        </w:rPr>
        <w:t>[2019]2</w:t>
      </w:r>
      <w:r>
        <w:rPr>
          <w:rFonts w:ascii="Times New Roman" w:eastAsia="宋体" w:hAnsi="Times New Roman" w:cs="Times New Roman" w:hint="eastAsia"/>
          <w:color w:val="000000"/>
          <w:sz w:val="24"/>
          <w:szCs w:val="24"/>
        </w:rPr>
        <w:t>号）中规定的“到期日”意为永续债发行人自债券持有人手中赎回份额的时间，即形成回购义务的时点。</w:t>
      </w:r>
    </w:p>
    <w:p w14:paraId="6A002589" w14:textId="1DCECBE9"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在本次市场化债转股交易中，大唐电信引入国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基金对大唐微电子进行</w:t>
      </w:r>
      <w:r>
        <w:rPr>
          <w:rFonts w:ascii="Times New Roman" w:eastAsia="宋体" w:hAnsi="Times New Roman" w:cs="Times New Roman" w:hint="eastAsia"/>
          <w:color w:val="000000"/>
          <w:sz w:val="24"/>
          <w:szCs w:val="24"/>
        </w:rPr>
        <w:lastRenderedPageBreak/>
        <w:t>现金增资，双方未约定大唐电信及其子公司有义务回购国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基金退出股权投资的日期。根据双方签署的增资协议及合作协议，协议条款中虽约定了</w:t>
      </w:r>
      <w:r>
        <w:rPr>
          <w:rFonts w:ascii="Times New Roman" w:eastAsia="宋体" w:hAnsi="Times New Roman" w:cs="Times New Roman" w:hint="eastAsia"/>
          <w:color w:val="000000"/>
          <w:sz w:val="24"/>
          <w:szCs w:val="24"/>
        </w:rPr>
        <w:t>5</w:t>
      </w:r>
      <w:r>
        <w:rPr>
          <w:rFonts w:ascii="Times New Roman" w:eastAsia="宋体" w:hAnsi="Times New Roman" w:cs="Times New Roman" w:hint="eastAsia"/>
          <w:color w:val="000000"/>
          <w:sz w:val="24"/>
          <w:szCs w:val="24"/>
        </w:rPr>
        <w:t>年的投资期限，但此期限仅为双方协商达成一致后通过股权置换退出投资的期限。若在此期限内未能完成股权置换退出，同时也未能实现特殊情形下的退出，将触发利率跳升、国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可选择对外转让股权等条款，但由于上文分析的“利率跳升次数有限、有最高票息限制且封顶利率未超过同期同行业同类型工具平均的利率水平”，大唐微电子控股股东及大唐电信不存在回购大唐微电子股权的义务，该笔投资客观上可长期存续，不存在回购的明确时点。</w:t>
      </w:r>
    </w:p>
    <w:p w14:paraId="22ACEC16"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因此，公司本次交易符合《永续债相关会计处理的规定》划分为权益工具的相关情形。</w:t>
      </w:r>
    </w:p>
    <w:p w14:paraId="5EE9DBD6" w14:textId="21715C73" w:rsidR="00BD3166" w:rsidRDefault="00C64679">
      <w:pPr>
        <w:spacing w:line="360" w:lineRule="auto"/>
        <w:ind w:firstLineChars="200" w:firstLine="482"/>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w:t>
      </w:r>
      <w:r>
        <w:rPr>
          <w:rFonts w:ascii="Times New Roman" w:eastAsia="宋体" w:hAnsi="Times New Roman" w:cs="Times New Roman"/>
          <w:b/>
          <w:color w:val="000000"/>
          <w:sz w:val="24"/>
          <w:szCs w:val="24"/>
        </w:rPr>
        <w:t>5</w:t>
      </w:r>
      <w:r>
        <w:rPr>
          <w:rFonts w:ascii="Times New Roman" w:eastAsia="宋体" w:hAnsi="Times New Roman" w:cs="Times New Roman" w:hint="eastAsia"/>
          <w:b/>
          <w:color w:val="000000"/>
          <w:sz w:val="24"/>
          <w:szCs w:val="24"/>
        </w:rPr>
        <w:t>）关于清偿顺序</w:t>
      </w:r>
    </w:p>
    <w:p w14:paraId="4CA38465"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双方签署的相关协议约定，自本次交易交割日起，国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基金将成为大唐微电子股东，对大唐微电子承担法律规定和章程及协议约定的股东义务。</w:t>
      </w:r>
    </w:p>
    <w:p w14:paraId="381B06DC"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依据《公司法》第一百八十六条规定：公司财产在分别支付清算费用、职工的工资、社会保险费用和法定补偿金，缴纳所欠税款，清偿公司债务后的剩余财产，有限责任公司按照股东的出资比例分配。公司财产在未依照前款规定清偿前，不得分配给股东。</w:t>
      </w:r>
    </w:p>
    <w:p w14:paraId="7FE2FC89"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本次交易中，国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基金对大唐微电子享有的股权在公司破产清算时的清偿顺序将列于公司普通债务之后，表明公司没有交付现金或其他金融资产的合同义务。符合《永续债相关会计处理的规定》划分为权益工具的相关情形。</w:t>
      </w:r>
    </w:p>
    <w:p w14:paraId="41FF1313"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综上所述，结合利润分配、退出机制、利率跳升、投资期限、清偿顺序等因素，大唐微电子进行的市场化债转股及本次增资协议符合《企业会计准则》关于权益类金融工具的相关规定，</w:t>
      </w:r>
      <w:r>
        <w:rPr>
          <w:rFonts w:ascii="Times New Roman" w:eastAsia="宋体" w:hAnsi="Times New Roman" w:cs="Times New Roman" w:hint="eastAsia"/>
          <w:color w:val="000000"/>
          <w:sz w:val="24"/>
          <w:szCs w:val="24"/>
        </w:rPr>
        <w:t>公司能够无条件地避免交付现金或其他金融资产的合同义务</w:t>
      </w:r>
      <w:r>
        <w:rPr>
          <w:rFonts w:ascii="Times New Roman" w:eastAsia="宋体" w:hAnsi="Times New Roman" w:cs="Times New Roman"/>
          <w:color w:val="000000"/>
          <w:sz w:val="24"/>
          <w:szCs w:val="24"/>
        </w:rPr>
        <w:t>。</w:t>
      </w:r>
    </w:p>
    <w:p w14:paraId="718B8AC1"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五、结合前述问题，说明本次增资的主要目的及必要性，是否有利于提高上市公司质量，是否符合重组办法相关规定。</w:t>
      </w:r>
    </w:p>
    <w:p w14:paraId="1156F990"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由于公司处于产业调整转型时期，再加上市场环境的影响，公司近年来面临整体经营不利的局面。截至</w:t>
      </w:r>
      <w:r>
        <w:rPr>
          <w:rFonts w:ascii="Times New Roman" w:eastAsia="宋体" w:hAnsi="Times New Roman" w:cs="Times New Roman"/>
          <w:color w:val="000000"/>
          <w:sz w:val="24"/>
          <w:szCs w:val="24"/>
        </w:rPr>
        <w:t>2018</w:t>
      </w:r>
      <w:r>
        <w:rPr>
          <w:rFonts w:ascii="Times New Roman" w:eastAsia="宋体" w:hAnsi="Times New Roman" w:cs="Times New Roman" w:hint="eastAsia"/>
          <w:color w:val="000000"/>
          <w:sz w:val="24"/>
          <w:szCs w:val="24"/>
        </w:rPr>
        <w:t>年</w:t>
      </w:r>
      <w:r>
        <w:rPr>
          <w:rFonts w:ascii="Times New Roman" w:eastAsia="宋体" w:hAnsi="Times New Roman" w:cs="Times New Roman"/>
          <w:color w:val="000000"/>
          <w:sz w:val="24"/>
          <w:szCs w:val="24"/>
        </w:rPr>
        <w:t>12</w:t>
      </w:r>
      <w:r>
        <w:rPr>
          <w:rFonts w:ascii="Times New Roman" w:eastAsia="宋体" w:hAnsi="Times New Roman" w:cs="Times New Roman" w:hint="eastAsia"/>
          <w:color w:val="000000"/>
          <w:sz w:val="24"/>
          <w:szCs w:val="24"/>
        </w:rPr>
        <w:t>月</w:t>
      </w:r>
      <w:r>
        <w:rPr>
          <w:rFonts w:ascii="Times New Roman" w:eastAsia="宋体" w:hAnsi="Times New Roman" w:cs="Times New Roman"/>
          <w:color w:val="000000"/>
          <w:sz w:val="24"/>
          <w:szCs w:val="24"/>
        </w:rPr>
        <w:t>31</w:t>
      </w:r>
      <w:r>
        <w:rPr>
          <w:rFonts w:ascii="Times New Roman" w:eastAsia="宋体" w:hAnsi="Times New Roman" w:cs="Times New Roman" w:hint="eastAsia"/>
          <w:color w:val="000000"/>
          <w:sz w:val="24"/>
          <w:szCs w:val="24"/>
        </w:rPr>
        <w:t>日、</w:t>
      </w:r>
      <w:r>
        <w:rPr>
          <w:rFonts w:ascii="Times New Roman" w:eastAsia="宋体" w:hAnsi="Times New Roman" w:cs="Times New Roman"/>
          <w:color w:val="000000"/>
          <w:sz w:val="24"/>
          <w:szCs w:val="24"/>
        </w:rPr>
        <w:t>2019</w:t>
      </w:r>
      <w:r>
        <w:rPr>
          <w:rFonts w:ascii="Times New Roman" w:eastAsia="宋体" w:hAnsi="Times New Roman" w:cs="Times New Roman" w:hint="eastAsia"/>
          <w:color w:val="000000"/>
          <w:sz w:val="24"/>
          <w:szCs w:val="24"/>
        </w:rPr>
        <w:t>年</w:t>
      </w:r>
      <w:r>
        <w:rPr>
          <w:rFonts w:ascii="Times New Roman" w:eastAsia="宋体" w:hAnsi="Times New Roman" w:cs="Times New Roman"/>
          <w:color w:val="000000"/>
          <w:sz w:val="24"/>
          <w:szCs w:val="24"/>
        </w:rPr>
        <w:t>12</w:t>
      </w:r>
      <w:r>
        <w:rPr>
          <w:rFonts w:ascii="Times New Roman" w:eastAsia="宋体" w:hAnsi="Times New Roman" w:cs="Times New Roman" w:hint="eastAsia"/>
          <w:color w:val="000000"/>
          <w:sz w:val="24"/>
          <w:szCs w:val="24"/>
        </w:rPr>
        <w:t>月</w:t>
      </w:r>
      <w:r>
        <w:rPr>
          <w:rFonts w:ascii="Times New Roman" w:eastAsia="宋体" w:hAnsi="Times New Roman" w:cs="Times New Roman"/>
          <w:color w:val="000000"/>
          <w:sz w:val="24"/>
          <w:szCs w:val="24"/>
        </w:rPr>
        <w:t>31</w:t>
      </w:r>
      <w:r>
        <w:rPr>
          <w:rFonts w:ascii="Times New Roman" w:eastAsia="宋体" w:hAnsi="Times New Roman" w:cs="Times New Roman" w:hint="eastAsia"/>
          <w:color w:val="000000"/>
          <w:sz w:val="24"/>
          <w:szCs w:val="24"/>
        </w:rPr>
        <w:t>日及</w:t>
      </w:r>
      <w:r>
        <w:rPr>
          <w:rFonts w:ascii="Times New Roman" w:eastAsia="宋体" w:hAnsi="Times New Roman" w:cs="Times New Roman"/>
          <w:color w:val="000000"/>
          <w:sz w:val="24"/>
          <w:szCs w:val="24"/>
        </w:rPr>
        <w:t>2020</w:t>
      </w:r>
      <w:r>
        <w:rPr>
          <w:rFonts w:ascii="Times New Roman" w:eastAsia="宋体" w:hAnsi="Times New Roman" w:cs="Times New Roman" w:hint="eastAsia"/>
          <w:color w:val="000000"/>
          <w:sz w:val="24"/>
          <w:szCs w:val="24"/>
        </w:rPr>
        <w:t>年</w:t>
      </w:r>
      <w:r>
        <w:rPr>
          <w:rFonts w:ascii="Times New Roman" w:eastAsia="宋体" w:hAnsi="Times New Roman" w:cs="Times New Roman"/>
          <w:color w:val="000000"/>
          <w:sz w:val="24"/>
          <w:szCs w:val="24"/>
        </w:rPr>
        <w:t>12</w:t>
      </w:r>
      <w:r>
        <w:rPr>
          <w:rFonts w:ascii="Times New Roman" w:eastAsia="宋体" w:hAnsi="Times New Roman" w:cs="Times New Roman" w:hint="eastAsia"/>
          <w:color w:val="000000"/>
          <w:sz w:val="24"/>
          <w:szCs w:val="24"/>
        </w:rPr>
        <w:t>月</w:t>
      </w:r>
      <w:r>
        <w:rPr>
          <w:rFonts w:ascii="Times New Roman" w:eastAsia="宋体" w:hAnsi="Times New Roman" w:cs="Times New Roman"/>
          <w:color w:val="000000"/>
          <w:sz w:val="24"/>
          <w:szCs w:val="24"/>
        </w:rPr>
        <w:t>31</w:t>
      </w:r>
      <w:r>
        <w:rPr>
          <w:rFonts w:ascii="Times New Roman" w:eastAsia="宋体" w:hAnsi="Times New Roman" w:cs="Times New Roman" w:hint="eastAsia"/>
          <w:color w:val="000000"/>
          <w:sz w:val="24"/>
          <w:szCs w:val="24"/>
        </w:rPr>
        <w:t>日，公司资产负债率分别为</w:t>
      </w:r>
      <w:r>
        <w:rPr>
          <w:rFonts w:ascii="Times New Roman" w:eastAsia="宋体" w:hAnsi="Times New Roman" w:cs="Times New Roman"/>
          <w:color w:val="000000"/>
          <w:sz w:val="24"/>
          <w:szCs w:val="24"/>
        </w:rPr>
        <w:t>91.84%</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75.30%</w:t>
      </w:r>
      <w:r>
        <w:rPr>
          <w:rFonts w:ascii="Times New Roman" w:eastAsia="宋体" w:hAnsi="Times New Roman" w:cs="Times New Roman" w:hint="eastAsia"/>
          <w:color w:val="000000"/>
          <w:sz w:val="24"/>
          <w:szCs w:val="24"/>
        </w:rPr>
        <w:t>及</w:t>
      </w:r>
      <w:r>
        <w:rPr>
          <w:rFonts w:ascii="Times New Roman" w:eastAsia="宋体" w:hAnsi="Times New Roman" w:cs="Times New Roman"/>
          <w:color w:val="000000"/>
          <w:sz w:val="24"/>
          <w:szCs w:val="24"/>
        </w:rPr>
        <w:t>116.53%</w:t>
      </w:r>
      <w:r>
        <w:rPr>
          <w:rFonts w:ascii="Times New Roman" w:eastAsia="宋体" w:hAnsi="Times New Roman" w:cs="Times New Roman" w:hint="eastAsia"/>
          <w:color w:val="000000"/>
          <w:sz w:val="24"/>
          <w:szCs w:val="24"/>
        </w:rPr>
        <w:t>，资产负债率较</w:t>
      </w:r>
      <w:r>
        <w:rPr>
          <w:rFonts w:ascii="Times New Roman" w:eastAsia="宋体" w:hAnsi="Times New Roman" w:cs="Times New Roman" w:hint="eastAsia"/>
          <w:color w:val="000000"/>
          <w:sz w:val="24"/>
          <w:szCs w:val="24"/>
        </w:rPr>
        <w:lastRenderedPageBreak/>
        <w:t>高。为降低上市公司的资产负债率，上市公司下属企业大唐微电子拟通过引入国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对公司增资的方式，优化上市公司的整体资产负债结构，提升上市公司盈利能力，从而维护全体股东利益。本次交易是公司为进一步降低资产负债率、优化资产结构、促进主营业务发展以及增强持续经营能力的重要举措。</w:t>
      </w:r>
    </w:p>
    <w:p w14:paraId="50B0CF12"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本次交易有助于优化上市公司的整体资产负债结构，有利于上市公司增强持续经营能力，符合《上市公司重大资产重组管理办法》的相关规定。</w:t>
      </w:r>
    </w:p>
    <w:p w14:paraId="2A04C380"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六、独立财务顾问核查意见</w:t>
      </w:r>
    </w:p>
    <w:p w14:paraId="13CCD6CD"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经核查，独立财务顾问认为：</w:t>
      </w:r>
    </w:p>
    <w:p w14:paraId="34592D06"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此次增资中，公司与国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约定的利润分配安排、基准股息率等条款系经双方共同协商确定的协议条款，该等安排与市场化债转股业务模式的通行做法不存在重大差异，具备商业合理性。增资协议中对利润分配的相关安排不会对大唐微电子未来的持续盈利能力、现金流产生重大不利影响。</w:t>
      </w:r>
    </w:p>
    <w:p w14:paraId="5C20FBA5"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根据《增资协议》中的退出安排，若回购国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基金所持股权会对公司现金流、持续盈利能力产生不利影响，公司可选择不进行回购，相关条款设置并不会有损于上市公司利益。</w:t>
      </w:r>
    </w:p>
    <w:p w14:paraId="7862D92E"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结合利润分配、退出机制、利率跳升、投资期限、偿还顺序等因素，公司能够无条件地避免交付现金或其他金融资产的合同义务，大唐微电子进行的市场化债转股及本次增资协议符合《企业会计准则》关于权益类金融工具的相关规定。</w:t>
      </w:r>
    </w:p>
    <w:p w14:paraId="0332BDAA"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本次引入国</w:t>
      </w:r>
      <w:proofErr w:type="gramStart"/>
      <w:r>
        <w:rPr>
          <w:rFonts w:ascii="Times New Roman" w:eastAsia="宋体" w:hAnsi="Times New Roman" w:cs="Times New Roman" w:hint="eastAsia"/>
          <w:color w:val="000000"/>
          <w:sz w:val="24"/>
          <w:szCs w:val="24"/>
        </w:rPr>
        <w:t>新建信</w:t>
      </w:r>
      <w:proofErr w:type="gramEnd"/>
      <w:r>
        <w:rPr>
          <w:rFonts w:ascii="Times New Roman" w:eastAsia="宋体" w:hAnsi="Times New Roman" w:cs="Times New Roman" w:hint="eastAsia"/>
          <w:color w:val="000000"/>
          <w:sz w:val="24"/>
          <w:szCs w:val="24"/>
        </w:rPr>
        <w:t>基金对大唐微电子增资有助于优化上市公司的整体资产负债结构，经营活力和经营潜能将进一步释放，竞争力和持续经营能力将得到增强。长期来看，有助于提升上市公司盈利能力，从而维护全体股东利益，符合《重组管理办法》的相关规定。</w:t>
      </w:r>
    </w:p>
    <w:p w14:paraId="4CA2D14A"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七、会计师核查意见</w:t>
      </w:r>
    </w:p>
    <w:p w14:paraId="1D43D602" w14:textId="77777777" w:rsidR="00BD3166" w:rsidRDefault="00C64679">
      <w:pPr>
        <w:spacing w:line="360" w:lineRule="auto"/>
        <w:ind w:firstLineChars="200" w:firstLine="480"/>
        <w:rPr>
          <w:rFonts w:ascii="Times New Roman" w:hAnsi="Times New Roman" w:cs="Times New Roman"/>
          <w:sz w:val="24"/>
        </w:rPr>
      </w:pPr>
      <w:r>
        <w:rPr>
          <w:rFonts w:ascii="Times New Roman" w:eastAsia="宋体" w:hAnsi="Times New Roman" w:cs="Times New Roman" w:hint="eastAsia"/>
          <w:color w:val="000000"/>
          <w:sz w:val="24"/>
          <w:szCs w:val="24"/>
        </w:rPr>
        <w:t>经核查，立信会计师事务所认为：</w:t>
      </w:r>
    </w:p>
    <w:p w14:paraId="4E75D834" w14:textId="77777777" w:rsidR="00BD3166" w:rsidRDefault="00C64679">
      <w:pPr>
        <w:spacing w:line="360" w:lineRule="auto"/>
        <w:ind w:firstLineChars="200" w:firstLine="480"/>
        <w:rPr>
          <w:rFonts w:ascii="Times New Roman" w:hAnsi="Times New Roman" w:cs="Times New Roman"/>
          <w:sz w:val="24"/>
        </w:rPr>
      </w:pPr>
      <w:bookmarkStart w:id="8" w:name="_Hlk76308204"/>
      <w:r>
        <w:rPr>
          <w:rFonts w:ascii="Times New Roman" w:hAnsi="Times New Roman" w:cs="Times New Roman" w:hint="eastAsia"/>
          <w:sz w:val="24"/>
        </w:rPr>
        <w:t>此次增资中，公司与国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约定的利润分配安排、基准股息率等条款系经双方共同协商确定的协议条款，该等安排与市场化债转股业务模式的通行做法不存在重大差异，具备商业合理性。增资协议中对利润分配的相关安排不会对大唐微电子未来的持续盈利能力、现金流产生重大不利影响。</w:t>
      </w:r>
    </w:p>
    <w:p w14:paraId="19F415B0"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lastRenderedPageBreak/>
        <w:t>根据《增资协议》中的退出安排，若回购国</w:t>
      </w:r>
      <w:proofErr w:type="gramStart"/>
      <w:r>
        <w:rPr>
          <w:rFonts w:ascii="Times New Roman" w:hAnsi="Times New Roman" w:cs="Times New Roman" w:hint="eastAsia"/>
          <w:sz w:val="24"/>
        </w:rPr>
        <w:t>新建信</w:t>
      </w:r>
      <w:proofErr w:type="gramEnd"/>
      <w:r>
        <w:rPr>
          <w:rFonts w:ascii="Times New Roman" w:hAnsi="Times New Roman" w:cs="Times New Roman" w:hint="eastAsia"/>
          <w:sz w:val="24"/>
        </w:rPr>
        <w:t>基金所持股权会对公司现金流、持续盈利能力产生不利影响，公司可选择不进行回购，相关条款设置并不会有损于上市公司利益。</w:t>
      </w:r>
    </w:p>
    <w:p w14:paraId="43F0CFC3"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结合利润分配、退出机制、利率跳升、投资期限、偿还顺序等因素，公司能够无条件地避免交付现金或其他金融资产的合同义务，大唐微电子进行的市场化债转股及本次增资协议符合《企业会计准则》关于权益类金融工具的相关规定。</w:t>
      </w:r>
      <w:bookmarkEnd w:id="8"/>
    </w:p>
    <w:p w14:paraId="085F48FB"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八、补充披露情况</w:t>
      </w:r>
    </w:p>
    <w:p w14:paraId="4A7F7031" w14:textId="77777777" w:rsidR="00BD3166" w:rsidRDefault="00C64679">
      <w:pPr>
        <w:spacing w:line="360" w:lineRule="auto"/>
        <w:ind w:firstLineChars="200" w:firstLine="480"/>
        <w:rPr>
          <w:rFonts w:ascii="Times New Roman" w:eastAsia="宋体" w:hAnsi="Times New Roman" w:cs="Times New Roman"/>
          <w:color w:val="000000"/>
          <w:sz w:val="24"/>
          <w:szCs w:val="24"/>
        </w:rPr>
      </w:pPr>
      <w:bookmarkStart w:id="9" w:name="_Hlk75522658"/>
      <w:r>
        <w:rPr>
          <w:rFonts w:ascii="Times New Roman" w:eastAsia="宋体" w:hAnsi="Times New Roman" w:cs="Times New Roman" w:hint="eastAsia"/>
          <w:color w:val="000000"/>
          <w:sz w:val="24"/>
          <w:szCs w:val="24"/>
        </w:rPr>
        <w:t>公司已在草案“第六节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本次交易主要合同”之“六、利润分配安排”及“七、退出安排”中补充披露相关内容。</w:t>
      </w:r>
      <w:bookmarkEnd w:id="9"/>
    </w:p>
    <w:p w14:paraId="160150EC" w14:textId="77777777" w:rsidR="00BD3166" w:rsidRDefault="00C64679">
      <w:pPr>
        <w:spacing w:line="360" w:lineRule="auto"/>
        <w:ind w:firstLineChars="200" w:firstLine="482"/>
        <w:outlineLvl w:val="0"/>
        <w:rPr>
          <w:rFonts w:ascii="Times New Roman" w:hAnsi="Times New Roman" w:cs="Times New Roman"/>
          <w:sz w:val="24"/>
        </w:rPr>
      </w:pPr>
      <w:r>
        <w:rPr>
          <w:rFonts w:ascii="Times New Roman" w:eastAsia="宋体" w:hAnsi="Times New Roman" w:cs="Times New Roman" w:hint="eastAsia"/>
          <w:b/>
          <w:color w:val="000000"/>
          <w:sz w:val="24"/>
          <w:szCs w:val="24"/>
        </w:rPr>
        <w:t>问题</w:t>
      </w:r>
      <w:r>
        <w:rPr>
          <w:rFonts w:ascii="Times New Roman" w:eastAsia="宋体" w:hAnsi="Times New Roman" w:cs="Times New Roman"/>
          <w:b/>
          <w:color w:val="000000"/>
          <w:sz w:val="24"/>
          <w:szCs w:val="24"/>
        </w:rPr>
        <w:t>3.</w:t>
      </w:r>
      <w:r>
        <w:rPr>
          <w:rFonts w:ascii="Times New Roman" w:eastAsia="宋体" w:hAnsi="Times New Roman" w:cs="Times New Roman"/>
          <w:b/>
          <w:color w:val="000000"/>
          <w:sz w:val="24"/>
          <w:szCs w:val="24"/>
        </w:rPr>
        <w:t>草案披露，标的公司净资产账面价值为</w:t>
      </w:r>
      <w:r>
        <w:rPr>
          <w:rFonts w:ascii="Times New Roman" w:eastAsia="宋体" w:hAnsi="Times New Roman" w:cs="Times New Roman"/>
          <w:b/>
          <w:color w:val="000000"/>
          <w:sz w:val="24"/>
          <w:szCs w:val="24"/>
        </w:rPr>
        <w:t>3.89</w:t>
      </w:r>
      <w:r>
        <w:rPr>
          <w:rFonts w:ascii="Times New Roman" w:eastAsia="宋体" w:hAnsi="Times New Roman" w:cs="Times New Roman"/>
          <w:b/>
          <w:color w:val="000000"/>
          <w:sz w:val="24"/>
          <w:szCs w:val="24"/>
        </w:rPr>
        <w:t>亿元，本次增资采用资产基础法和市场法进行评估，评估值分别为</w:t>
      </w:r>
      <w:r>
        <w:rPr>
          <w:rFonts w:ascii="Times New Roman" w:eastAsia="宋体" w:hAnsi="Times New Roman" w:cs="Times New Roman"/>
          <w:b/>
          <w:color w:val="000000"/>
          <w:sz w:val="24"/>
          <w:szCs w:val="24"/>
        </w:rPr>
        <w:t>9.95</w:t>
      </w:r>
      <w:r>
        <w:rPr>
          <w:rFonts w:ascii="Times New Roman" w:eastAsia="宋体" w:hAnsi="Times New Roman" w:cs="Times New Roman"/>
          <w:b/>
          <w:color w:val="000000"/>
          <w:sz w:val="24"/>
          <w:szCs w:val="24"/>
        </w:rPr>
        <w:t>亿元与</w:t>
      </w:r>
      <w:r>
        <w:rPr>
          <w:rFonts w:ascii="Times New Roman" w:eastAsia="宋体" w:hAnsi="Times New Roman" w:cs="Times New Roman"/>
          <w:b/>
          <w:color w:val="000000"/>
          <w:sz w:val="24"/>
          <w:szCs w:val="24"/>
        </w:rPr>
        <w:t>12.37</w:t>
      </w:r>
      <w:r>
        <w:rPr>
          <w:rFonts w:ascii="Times New Roman" w:eastAsia="宋体" w:hAnsi="Times New Roman" w:cs="Times New Roman"/>
          <w:b/>
          <w:color w:val="000000"/>
          <w:sz w:val="24"/>
          <w:szCs w:val="24"/>
        </w:rPr>
        <w:t>亿元，最终采用市场法作为评估结论，增值率</w:t>
      </w:r>
      <w:r>
        <w:rPr>
          <w:rFonts w:ascii="Times New Roman" w:eastAsia="宋体" w:hAnsi="Times New Roman" w:cs="Times New Roman"/>
          <w:b/>
          <w:color w:val="000000"/>
          <w:sz w:val="24"/>
          <w:szCs w:val="24"/>
        </w:rPr>
        <w:t>218.18%</w:t>
      </w:r>
      <w:r>
        <w:rPr>
          <w:rFonts w:ascii="Times New Roman" w:eastAsia="宋体" w:hAnsi="Times New Roman" w:cs="Times New Roman"/>
          <w:b/>
          <w:color w:val="000000"/>
          <w:sz w:val="24"/>
          <w:szCs w:val="24"/>
        </w:rPr>
        <w:t>；前期，标的公司曾于</w:t>
      </w:r>
      <w:r>
        <w:rPr>
          <w:rFonts w:ascii="Times New Roman" w:eastAsia="宋体" w:hAnsi="Times New Roman" w:cs="Times New Roman"/>
          <w:b/>
          <w:color w:val="000000"/>
          <w:sz w:val="24"/>
          <w:szCs w:val="24"/>
        </w:rPr>
        <w:t>2019</w:t>
      </w:r>
      <w:r>
        <w:rPr>
          <w:rFonts w:ascii="Times New Roman" w:eastAsia="宋体" w:hAnsi="Times New Roman" w:cs="Times New Roman"/>
          <w:b/>
          <w:color w:val="000000"/>
          <w:sz w:val="24"/>
          <w:szCs w:val="24"/>
        </w:rPr>
        <w:t>年</w:t>
      </w:r>
      <w:r>
        <w:rPr>
          <w:rFonts w:ascii="Times New Roman" w:eastAsia="宋体" w:hAnsi="Times New Roman" w:cs="Times New Roman"/>
          <w:b/>
          <w:color w:val="000000"/>
          <w:sz w:val="24"/>
          <w:szCs w:val="24"/>
        </w:rPr>
        <w:t>8</w:t>
      </w:r>
      <w:r>
        <w:rPr>
          <w:rFonts w:ascii="Times New Roman" w:eastAsia="宋体" w:hAnsi="Times New Roman" w:cs="Times New Roman"/>
          <w:b/>
          <w:color w:val="000000"/>
          <w:sz w:val="24"/>
          <w:szCs w:val="24"/>
        </w:rPr>
        <w:t>月</w:t>
      </w:r>
      <w:r>
        <w:rPr>
          <w:rFonts w:ascii="Times New Roman" w:eastAsia="宋体" w:hAnsi="Times New Roman" w:cs="Times New Roman"/>
          <w:b/>
          <w:color w:val="000000"/>
          <w:sz w:val="24"/>
          <w:szCs w:val="24"/>
        </w:rPr>
        <w:t>31</w:t>
      </w:r>
      <w:r>
        <w:rPr>
          <w:rFonts w:ascii="Times New Roman" w:eastAsia="宋体" w:hAnsi="Times New Roman" w:cs="Times New Roman"/>
          <w:b/>
          <w:color w:val="000000"/>
          <w:sz w:val="24"/>
          <w:szCs w:val="24"/>
        </w:rPr>
        <w:t>日进行市场法评估，评估值为</w:t>
      </w:r>
      <w:r>
        <w:rPr>
          <w:rFonts w:ascii="Times New Roman" w:eastAsia="宋体" w:hAnsi="Times New Roman" w:cs="Times New Roman"/>
          <w:b/>
          <w:color w:val="000000"/>
          <w:sz w:val="24"/>
          <w:szCs w:val="24"/>
        </w:rPr>
        <w:t>11.95</w:t>
      </w:r>
      <w:r>
        <w:rPr>
          <w:rFonts w:ascii="Times New Roman" w:eastAsia="宋体" w:hAnsi="Times New Roman" w:cs="Times New Roman"/>
          <w:b/>
          <w:color w:val="000000"/>
          <w:sz w:val="24"/>
          <w:szCs w:val="24"/>
        </w:rPr>
        <w:t>亿元。本次市场法评估过程中，对标的公司</w:t>
      </w:r>
      <w:r>
        <w:rPr>
          <w:rFonts w:ascii="Times New Roman" w:eastAsia="宋体" w:hAnsi="Times New Roman" w:cs="Times New Roman"/>
          <w:b/>
          <w:color w:val="000000"/>
          <w:sz w:val="24"/>
          <w:szCs w:val="24"/>
        </w:rPr>
        <w:t>2020</w:t>
      </w:r>
      <w:r>
        <w:rPr>
          <w:rFonts w:ascii="Times New Roman" w:eastAsia="宋体" w:hAnsi="Times New Roman" w:cs="Times New Roman"/>
          <w:b/>
          <w:color w:val="000000"/>
          <w:sz w:val="24"/>
          <w:szCs w:val="24"/>
        </w:rPr>
        <w:t>年度净利润数据进行调整，剔除了前期财务整改的影响；</w:t>
      </w:r>
      <w:proofErr w:type="gramStart"/>
      <w:r>
        <w:rPr>
          <w:rFonts w:ascii="Times New Roman" w:eastAsia="宋体" w:hAnsi="Times New Roman" w:cs="Times New Roman"/>
          <w:b/>
          <w:color w:val="000000"/>
          <w:sz w:val="24"/>
          <w:szCs w:val="24"/>
        </w:rPr>
        <w:t>选取汇顶科技</w:t>
      </w:r>
      <w:proofErr w:type="gramEnd"/>
      <w:r>
        <w:rPr>
          <w:rFonts w:ascii="Times New Roman" w:eastAsia="宋体" w:hAnsi="Times New Roman" w:cs="Times New Roman"/>
          <w:b/>
          <w:color w:val="000000"/>
          <w:sz w:val="24"/>
          <w:szCs w:val="24"/>
        </w:rPr>
        <w:t>、</w:t>
      </w:r>
      <w:proofErr w:type="gramStart"/>
      <w:r>
        <w:rPr>
          <w:rFonts w:ascii="Times New Roman" w:eastAsia="宋体" w:hAnsi="Times New Roman" w:cs="Times New Roman"/>
          <w:b/>
          <w:color w:val="000000"/>
          <w:sz w:val="24"/>
          <w:szCs w:val="24"/>
        </w:rPr>
        <w:t>澄天伟业</w:t>
      </w:r>
      <w:proofErr w:type="gramEnd"/>
      <w:r>
        <w:rPr>
          <w:rFonts w:ascii="Times New Roman" w:eastAsia="宋体" w:hAnsi="Times New Roman" w:cs="Times New Roman"/>
          <w:b/>
          <w:color w:val="000000"/>
          <w:sz w:val="24"/>
          <w:szCs w:val="24"/>
        </w:rPr>
        <w:t>等多家行业龙头公司作为可比公司，其中</w:t>
      </w:r>
      <w:proofErr w:type="gramStart"/>
      <w:r>
        <w:rPr>
          <w:rFonts w:ascii="Times New Roman" w:eastAsia="宋体" w:hAnsi="Times New Roman" w:cs="Times New Roman"/>
          <w:b/>
          <w:color w:val="000000"/>
          <w:sz w:val="24"/>
          <w:szCs w:val="24"/>
        </w:rPr>
        <w:t>汇顶科技</w:t>
      </w:r>
      <w:proofErr w:type="gramEnd"/>
      <w:r>
        <w:rPr>
          <w:rFonts w:ascii="Times New Roman" w:eastAsia="宋体" w:hAnsi="Times New Roman" w:cs="Times New Roman"/>
          <w:b/>
          <w:color w:val="000000"/>
          <w:sz w:val="24"/>
          <w:szCs w:val="24"/>
        </w:rPr>
        <w:t>主要从事指纹识别芯片业务，与标的公司从事的安全芯片业务存在一定差异。此外，因难以提供较长年度盈利情况的准确预测，本次增资未采用收益法，但退出安排中，业绩条件系退出情形之一，其中约定若标的公司</w:t>
      </w:r>
      <w:r>
        <w:rPr>
          <w:rFonts w:ascii="Times New Roman" w:eastAsia="宋体" w:hAnsi="Times New Roman" w:cs="Times New Roman"/>
          <w:b/>
          <w:color w:val="000000"/>
          <w:sz w:val="24"/>
          <w:szCs w:val="24"/>
        </w:rPr>
        <w:t>2021-2023</w:t>
      </w:r>
      <w:r>
        <w:rPr>
          <w:rFonts w:ascii="Times New Roman" w:eastAsia="宋体" w:hAnsi="Times New Roman" w:cs="Times New Roman"/>
          <w:b/>
          <w:color w:val="000000"/>
          <w:sz w:val="24"/>
          <w:szCs w:val="24"/>
        </w:rPr>
        <w:t>年经审计合计净利润低于</w:t>
      </w:r>
      <w:r>
        <w:rPr>
          <w:rFonts w:ascii="Times New Roman" w:eastAsia="宋体" w:hAnsi="Times New Roman" w:cs="Times New Roman"/>
          <w:b/>
          <w:color w:val="000000"/>
          <w:sz w:val="24"/>
          <w:szCs w:val="24"/>
        </w:rPr>
        <w:t>1.7</w:t>
      </w:r>
      <w:r>
        <w:rPr>
          <w:rFonts w:ascii="Times New Roman" w:eastAsia="宋体" w:hAnsi="Times New Roman" w:cs="Times New Roman"/>
          <w:b/>
          <w:color w:val="000000"/>
          <w:sz w:val="24"/>
          <w:szCs w:val="24"/>
        </w:rPr>
        <w:t>亿元，或</w:t>
      </w:r>
      <w:r>
        <w:rPr>
          <w:rFonts w:ascii="Times New Roman" w:eastAsia="宋体" w:hAnsi="Times New Roman" w:cs="Times New Roman"/>
          <w:b/>
          <w:color w:val="000000"/>
          <w:sz w:val="24"/>
          <w:szCs w:val="24"/>
        </w:rPr>
        <w:t>2021-2025</w:t>
      </w:r>
      <w:r>
        <w:rPr>
          <w:rFonts w:ascii="Times New Roman" w:eastAsia="宋体" w:hAnsi="Times New Roman" w:cs="Times New Roman"/>
          <w:b/>
          <w:color w:val="000000"/>
          <w:sz w:val="24"/>
          <w:szCs w:val="24"/>
        </w:rPr>
        <w:t>年经审计合计净利润低于</w:t>
      </w:r>
      <w:r>
        <w:rPr>
          <w:rFonts w:ascii="Times New Roman" w:eastAsia="宋体" w:hAnsi="Times New Roman" w:cs="Times New Roman"/>
          <w:b/>
          <w:color w:val="000000"/>
          <w:sz w:val="24"/>
          <w:szCs w:val="24"/>
        </w:rPr>
        <w:t>2.8</w:t>
      </w:r>
      <w:r>
        <w:rPr>
          <w:rFonts w:ascii="Times New Roman" w:eastAsia="宋体" w:hAnsi="Times New Roman" w:cs="Times New Roman"/>
          <w:b/>
          <w:color w:val="000000"/>
          <w:sz w:val="24"/>
          <w:szCs w:val="24"/>
        </w:rPr>
        <w:t>亿元，将触发公司及大唐半导体的回购义务。标的公司</w:t>
      </w:r>
      <w:r>
        <w:rPr>
          <w:rFonts w:ascii="Times New Roman" w:eastAsia="宋体" w:hAnsi="Times New Roman" w:cs="Times New Roman"/>
          <w:b/>
          <w:color w:val="000000"/>
          <w:sz w:val="24"/>
          <w:szCs w:val="24"/>
        </w:rPr>
        <w:t>2019</w:t>
      </w:r>
      <w:r>
        <w:rPr>
          <w:rFonts w:ascii="Times New Roman" w:eastAsia="宋体" w:hAnsi="Times New Roman" w:cs="Times New Roman"/>
          <w:b/>
          <w:color w:val="000000"/>
          <w:sz w:val="24"/>
          <w:szCs w:val="24"/>
        </w:rPr>
        <w:t>年、</w:t>
      </w:r>
      <w:r>
        <w:rPr>
          <w:rFonts w:ascii="Times New Roman" w:eastAsia="宋体" w:hAnsi="Times New Roman" w:cs="Times New Roman"/>
          <w:b/>
          <w:color w:val="000000"/>
          <w:sz w:val="24"/>
          <w:szCs w:val="24"/>
        </w:rPr>
        <w:t>2020</w:t>
      </w:r>
      <w:r>
        <w:rPr>
          <w:rFonts w:ascii="Times New Roman" w:eastAsia="宋体" w:hAnsi="Times New Roman" w:cs="Times New Roman"/>
          <w:b/>
          <w:color w:val="000000"/>
          <w:sz w:val="24"/>
          <w:szCs w:val="24"/>
        </w:rPr>
        <w:t>年分别实现净利润</w:t>
      </w:r>
      <w:r>
        <w:rPr>
          <w:rFonts w:ascii="Times New Roman" w:eastAsia="宋体" w:hAnsi="Times New Roman" w:cs="Times New Roman"/>
          <w:b/>
          <w:color w:val="000000"/>
          <w:sz w:val="24"/>
          <w:szCs w:val="24"/>
        </w:rPr>
        <w:t>4975.42</w:t>
      </w:r>
      <w:r>
        <w:rPr>
          <w:rFonts w:ascii="Times New Roman" w:eastAsia="宋体" w:hAnsi="Times New Roman" w:cs="Times New Roman"/>
          <w:b/>
          <w:color w:val="000000"/>
          <w:sz w:val="24"/>
          <w:szCs w:val="24"/>
        </w:rPr>
        <w:t>万元、</w:t>
      </w:r>
      <w:r>
        <w:rPr>
          <w:rFonts w:ascii="Times New Roman" w:eastAsia="宋体" w:hAnsi="Times New Roman" w:cs="Times New Roman"/>
          <w:b/>
          <w:color w:val="000000"/>
          <w:sz w:val="24"/>
          <w:szCs w:val="24"/>
        </w:rPr>
        <w:t>-1529.93</w:t>
      </w:r>
      <w:r>
        <w:rPr>
          <w:rFonts w:ascii="Times New Roman" w:eastAsia="宋体" w:hAnsi="Times New Roman" w:cs="Times New Roman"/>
          <w:b/>
          <w:color w:val="000000"/>
          <w:sz w:val="24"/>
          <w:szCs w:val="24"/>
        </w:rPr>
        <w:t>万元（剔除财务整改影响后为</w:t>
      </w:r>
      <w:r>
        <w:rPr>
          <w:rFonts w:ascii="Times New Roman" w:eastAsia="宋体" w:hAnsi="Times New Roman" w:cs="Times New Roman"/>
          <w:b/>
          <w:color w:val="000000"/>
          <w:sz w:val="24"/>
          <w:szCs w:val="24"/>
        </w:rPr>
        <w:t>4280.22</w:t>
      </w:r>
      <w:r>
        <w:rPr>
          <w:rFonts w:ascii="Times New Roman" w:eastAsia="宋体" w:hAnsi="Times New Roman" w:cs="Times New Roman"/>
          <w:b/>
          <w:color w:val="000000"/>
          <w:sz w:val="24"/>
          <w:szCs w:val="24"/>
        </w:rPr>
        <w:t>万元），与</w:t>
      </w:r>
      <w:proofErr w:type="gramStart"/>
      <w:r>
        <w:rPr>
          <w:rFonts w:ascii="Times New Roman" w:eastAsia="宋体" w:hAnsi="Times New Roman" w:cs="Times New Roman"/>
          <w:b/>
          <w:color w:val="000000"/>
          <w:sz w:val="24"/>
          <w:szCs w:val="24"/>
        </w:rPr>
        <w:t>往期业绩</w:t>
      </w:r>
      <w:proofErr w:type="gramEnd"/>
      <w:r>
        <w:rPr>
          <w:rFonts w:ascii="Times New Roman" w:eastAsia="宋体" w:hAnsi="Times New Roman" w:cs="Times New Roman"/>
          <w:b/>
          <w:color w:val="000000"/>
          <w:sz w:val="24"/>
          <w:szCs w:val="24"/>
        </w:rPr>
        <w:t>差异较大。请公司补充披露：（</w:t>
      </w: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）本次增资采用资产基础法和市场法评估结果差异较大，以及选取市场法作为评估结论的原因及合理性；（</w:t>
      </w: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）市场法评估时，剔除前期财务整改对标的公司财务数据影响的原因及合理性；（</w:t>
      </w:r>
      <w:r>
        <w:rPr>
          <w:rFonts w:ascii="Times New Roman" w:eastAsia="宋体" w:hAnsi="Times New Roman" w:cs="Times New Roman"/>
          <w:b/>
          <w:color w:val="000000"/>
          <w:sz w:val="24"/>
          <w:szCs w:val="24"/>
        </w:rPr>
        <w:t>3</w:t>
      </w:r>
      <w:r>
        <w:rPr>
          <w:rFonts w:ascii="Times New Roman" w:eastAsia="宋体" w:hAnsi="Times New Roman" w:cs="Times New Roman"/>
          <w:b/>
          <w:color w:val="000000"/>
          <w:sz w:val="24"/>
          <w:szCs w:val="24"/>
        </w:rPr>
        <w:t>）列示并分析标的公司与可比公司在主营业务、盈利能力、偿债能力、营运能力、成长能力等方面的具体差异，并说明可比公司的选取是否合理准确，是否具有可比性，评估过程及结果是否公允；（</w:t>
      </w:r>
      <w:r>
        <w:rPr>
          <w:rFonts w:ascii="Times New Roman" w:eastAsia="宋体" w:hAnsi="Times New Roman" w:cs="Times New Roman"/>
          <w:b/>
          <w:color w:val="000000"/>
          <w:sz w:val="24"/>
          <w:szCs w:val="24"/>
        </w:rPr>
        <w:t>4</w:t>
      </w:r>
      <w:r>
        <w:rPr>
          <w:rFonts w:ascii="Times New Roman" w:eastAsia="宋体" w:hAnsi="Times New Roman" w:cs="Times New Roman"/>
          <w:b/>
          <w:color w:val="000000"/>
          <w:sz w:val="24"/>
          <w:szCs w:val="24"/>
        </w:rPr>
        <w:t>）本次增资未采用收益法评估，但在退出安排中设定具体业绩条件的原因及合理性，结合本次增资对价及标的</w:t>
      </w:r>
      <w:proofErr w:type="gramStart"/>
      <w:r>
        <w:rPr>
          <w:rFonts w:ascii="Times New Roman" w:eastAsia="宋体" w:hAnsi="Times New Roman" w:cs="Times New Roman"/>
          <w:b/>
          <w:color w:val="000000"/>
          <w:sz w:val="24"/>
          <w:szCs w:val="24"/>
        </w:rPr>
        <w:t>公司往期业绩</w:t>
      </w:r>
      <w:proofErr w:type="gramEnd"/>
      <w:r>
        <w:rPr>
          <w:rFonts w:ascii="Times New Roman" w:eastAsia="宋体" w:hAnsi="Times New Roman" w:cs="Times New Roman"/>
          <w:b/>
          <w:color w:val="000000"/>
          <w:sz w:val="24"/>
          <w:szCs w:val="24"/>
        </w:rPr>
        <w:t>，说明相关业绩设置的合理性与可实现性，并充分提示相关风险。请财务顾问和评估机构</w:t>
      </w:r>
      <w:r>
        <w:rPr>
          <w:rFonts w:ascii="Times New Roman" w:eastAsia="宋体" w:hAnsi="Times New Roman" w:cs="Times New Roman"/>
          <w:b/>
          <w:color w:val="000000"/>
          <w:sz w:val="24"/>
          <w:szCs w:val="24"/>
        </w:rPr>
        <w:lastRenderedPageBreak/>
        <w:t>发表意见。</w:t>
      </w:r>
    </w:p>
    <w:p w14:paraId="4B8A37FD" w14:textId="77777777" w:rsidR="00BD3166" w:rsidRDefault="00C64679">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答复：</w:t>
      </w:r>
    </w:p>
    <w:p w14:paraId="1092BEFA" w14:textId="77777777" w:rsidR="00BD3166" w:rsidRDefault="00C64679">
      <w:pPr>
        <w:spacing w:line="360" w:lineRule="auto"/>
        <w:ind w:firstLineChars="200" w:firstLine="482"/>
        <w:outlineLvl w:val="1"/>
        <w:rPr>
          <w:rFonts w:ascii="Times New Roman" w:hAnsi="Times New Roman" w:cs="Times New Roman"/>
          <w:b/>
          <w:bCs/>
          <w:sz w:val="24"/>
        </w:rPr>
      </w:pPr>
      <w:r>
        <w:rPr>
          <w:rFonts w:ascii="Times New Roman" w:hAnsi="Times New Roman" w:cs="Times New Roman" w:hint="eastAsia"/>
          <w:b/>
          <w:bCs/>
          <w:sz w:val="24"/>
        </w:rPr>
        <w:t>一、本次增资采用资产基础法和市场法评估结果差异较大，以及选取市场法作为评估结论的原因及合理性</w:t>
      </w:r>
    </w:p>
    <w:p w14:paraId="68B53D08" w14:textId="77777777" w:rsidR="00BD3166" w:rsidRDefault="00C64679">
      <w:pPr>
        <w:spacing w:line="360" w:lineRule="auto"/>
        <w:ind w:firstLineChars="200" w:firstLine="482"/>
        <w:outlineLvl w:val="2"/>
        <w:rPr>
          <w:rFonts w:ascii="Times New Roman" w:hAnsi="Times New Roman" w:cs="Times New Roman"/>
          <w:b/>
          <w:bCs/>
          <w:sz w:val="24"/>
        </w:rPr>
      </w:pPr>
      <w:r>
        <w:rPr>
          <w:rFonts w:ascii="Times New Roman" w:hAnsi="Times New Roman" w:cs="Times New Roman" w:hint="eastAsia"/>
          <w:b/>
          <w:bCs/>
          <w:sz w:val="24"/>
        </w:rPr>
        <w:t>（一）本次增资采用资产基础法和市场法评估结果差异较大的原因及合理性</w:t>
      </w:r>
    </w:p>
    <w:p w14:paraId="0BF34F4D" w14:textId="14F4611A" w:rsidR="00BD3166" w:rsidRDefault="00C6467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本次评估</w:t>
      </w:r>
      <w:r>
        <w:rPr>
          <w:rFonts w:ascii="Times New Roman" w:hAnsi="Times New Roman" w:cs="Times New Roman" w:hint="eastAsia"/>
          <w:sz w:val="24"/>
          <w:szCs w:val="24"/>
        </w:rPr>
        <w:t>市场法评估值</w:t>
      </w:r>
      <w:r>
        <w:rPr>
          <w:rFonts w:ascii="Times New Roman" w:hAnsi="Times New Roman" w:cs="Times New Roman" w:hint="eastAsia"/>
          <w:sz w:val="24"/>
          <w:szCs w:val="24"/>
        </w:rPr>
        <w:t>123,695.46</w:t>
      </w:r>
      <w:r>
        <w:rPr>
          <w:rFonts w:ascii="Times New Roman" w:hAnsi="Times New Roman" w:cs="Times New Roman" w:hint="eastAsia"/>
          <w:sz w:val="24"/>
          <w:szCs w:val="24"/>
        </w:rPr>
        <w:t>万元，资产基础法评估值</w:t>
      </w:r>
      <w:r>
        <w:rPr>
          <w:rFonts w:ascii="Times New Roman" w:hAnsi="Times New Roman" w:cs="Times New Roman" w:hint="eastAsia"/>
          <w:sz w:val="24"/>
          <w:szCs w:val="24"/>
        </w:rPr>
        <w:t>99,471.04</w:t>
      </w:r>
      <w:r>
        <w:rPr>
          <w:rFonts w:ascii="Times New Roman" w:hAnsi="Times New Roman" w:cs="Times New Roman" w:hint="eastAsia"/>
          <w:sz w:val="24"/>
          <w:szCs w:val="24"/>
        </w:rPr>
        <w:t>万元，资产基础法与市场法的评估结果相差</w:t>
      </w:r>
      <w:r>
        <w:rPr>
          <w:rFonts w:ascii="Times New Roman" w:hAnsi="Times New Roman" w:cs="Times New Roman" w:hint="eastAsia"/>
          <w:sz w:val="24"/>
          <w:szCs w:val="24"/>
        </w:rPr>
        <w:t>24,224.42</w:t>
      </w:r>
      <w:r>
        <w:rPr>
          <w:rFonts w:ascii="Times New Roman" w:hAnsi="Times New Roman" w:cs="Times New Roman" w:hint="eastAsia"/>
          <w:sz w:val="24"/>
          <w:szCs w:val="24"/>
        </w:rPr>
        <w:t>万元，差异率</w:t>
      </w:r>
      <w:r>
        <w:rPr>
          <w:rFonts w:ascii="Times New Roman" w:hAnsi="Times New Roman" w:cs="Times New Roman" w:hint="eastAsia"/>
          <w:sz w:val="24"/>
          <w:szCs w:val="24"/>
        </w:rPr>
        <w:t>24.35%</w:t>
      </w:r>
      <w:r>
        <w:rPr>
          <w:rFonts w:ascii="Times New Roman" w:hAnsi="Times New Roman" w:cs="Times New Roman" w:hint="eastAsia"/>
          <w:sz w:val="24"/>
          <w:szCs w:val="24"/>
        </w:rPr>
        <w:t>。资产基础法和市场法存在一定的差异。</w:t>
      </w:r>
    </w:p>
    <w:p w14:paraId="1035E5F6" w14:textId="77777777" w:rsidR="00BD3166" w:rsidRDefault="00C6467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资产基础法评估是以资产的成本重置为价值标准，反映的是资产投入（</w:t>
      </w:r>
      <w:proofErr w:type="gramStart"/>
      <w:r>
        <w:rPr>
          <w:rFonts w:ascii="Times New Roman" w:hAnsi="Times New Roman" w:cs="Times New Roman" w:hint="eastAsia"/>
          <w:sz w:val="24"/>
          <w:szCs w:val="24"/>
        </w:rPr>
        <w:t>购建成</w:t>
      </w:r>
      <w:proofErr w:type="gramEnd"/>
      <w:r>
        <w:rPr>
          <w:rFonts w:ascii="Times New Roman" w:hAnsi="Times New Roman" w:cs="Times New Roman" w:hint="eastAsia"/>
          <w:sz w:val="24"/>
          <w:szCs w:val="24"/>
        </w:rPr>
        <w:t>本）所耗费的社会必要运动，这种</w:t>
      </w:r>
      <w:proofErr w:type="gramStart"/>
      <w:r>
        <w:rPr>
          <w:rFonts w:ascii="Times New Roman" w:hAnsi="Times New Roman" w:cs="Times New Roman" w:hint="eastAsia"/>
          <w:sz w:val="24"/>
          <w:szCs w:val="24"/>
        </w:rPr>
        <w:t>购建成</w:t>
      </w:r>
      <w:proofErr w:type="gramEnd"/>
      <w:r>
        <w:rPr>
          <w:rFonts w:ascii="Times New Roman" w:hAnsi="Times New Roman" w:cs="Times New Roman" w:hint="eastAsia"/>
          <w:sz w:val="24"/>
          <w:szCs w:val="24"/>
        </w:rPr>
        <w:t>本通常将随着国民经济的变化而变化，同时，资产基础法仅考虑了企业的全部可确指资产、负债的价值，是企业可确指资产、负债在评估基准日市场价值的体现；市场法是指获取并分析可比上市公司的经营和财务数据，计算适当的价值比率，使用相应的价值比率</w:t>
      </w:r>
      <w:r>
        <w:rPr>
          <w:rFonts w:ascii="Times New Roman" w:hAnsi="Times New Roman" w:cs="Times New Roman" w:hint="eastAsia"/>
          <w:sz w:val="24"/>
          <w:szCs w:val="24"/>
        </w:rPr>
        <w:t>(</w:t>
      </w:r>
      <w:r>
        <w:rPr>
          <w:rFonts w:ascii="Times New Roman" w:hAnsi="Times New Roman" w:cs="Times New Roman" w:hint="eastAsia"/>
          <w:sz w:val="24"/>
          <w:szCs w:val="24"/>
        </w:rPr>
        <w:t>乘数</w:t>
      </w:r>
      <w:r>
        <w:rPr>
          <w:rFonts w:ascii="Times New Roman" w:hAnsi="Times New Roman" w:cs="Times New Roman" w:hint="eastAsia"/>
          <w:sz w:val="24"/>
          <w:szCs w:val="24"/>
        </w:rPr>
        <w:t>)</w:t>
      </w:r>
      <w:r>
        <w:rPr>
          <w:rFonts w:ascii="Times New Roman" w:hAnsi="Times New Roman" w:cs="Times New Roman" w:hint="eastAsia"/>
          <w:sz w:val="24"/>
          <w:szCs w:val="24"/>
        </w:rPr>
        <w:t>进行对比，在与被评估单位比较分析的基础上，进行价值比率修正调整，最后评定计算评估值。</w:t>
      </w:r>
    </w:p>
    <w:p w14:paraId="7EC3CF8D" w14:textId="77777777" w:rsidR="00BD3166" w:rsidRDefault="00C6467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综上，由于两种方法从不同途径反映资产价值，故造成资产基础法和市场法评估结果差异。</w:t>
      </w:r>
    </w:p>
    <w:p w14:paraId="38FE557A" w14:textId="77777777" w:rsidR="00BD3166" w:rsidRDefault="00C64679">
      <w:pPr>
        <w:spacing w:line="360" w:lineRule="auto"/>
        <w:ind w:firstLineChars="200" w:firstLine="482"/>
        <w:outlineLvl w:val="2"/>
        <w:rPr>
          <w:rFonts w:ascii="Times New Roman" w:hAnsi="Times New Roman" w:cs="Times New Roman"/>
          <w:b/>
          <w:bCs/>
          <w:sz w:val="24"/>
        </w:rPr>
      </w:pPr>
      <w:r>
        <w:rPr>
          <w:rFonts w:ascii="Times New Roman" w:hAnsi="Times New Roman" w:cs="Times New Roman" w:hint="eastAsia"/>
          <w:b/>
          <w:bCs/>
          <w:sz w:val="24"/>
        </w:rPr>
        <w:t>（二）本次增资选取市场法作为评估结论的原因及合理性</w:t>
      </w:r>
    </w:p>
    <w:p w14:paraId="1021E989" w14:textId="7E3DD432"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资产基础法是基于重新购建该等资产所花费的成本评估资产的价值，市场法是基于市场上公开的公允价值信息确定资产的市场价值，能够更好地反映股东权益的市场价值，更适合此次增资扩股、引入外部投资者的评估目的。具体来说：</w:t>
      </w:r>
    </w:p>
    <w:p w14:paraId="0008F9CD"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场法评估过程中，评估对象可比上市公司的可比性较高、价值比率的选择符合公司及行业实际情况、对相关参数的修正能更接近评估对象及所处行业的实际情况。此外，市场法是以现实市场上的参照物来评价评估对象的现行公平市场价值，具有评估角度和评估途径直接、评估过程直观、评估数据直接取材于市场、评估结果说服力强的特点，更能客观反映评估对象的价值，相对更具有合理性。市场</w:t>
      </w:r>
      <w:proofErr w:type="gramStart"/>
      <w:r>
        <w:rPr>
          <w:rFonts w:ascii="Times New Roman" w:hAnsi="Times New Roman" w:cs="Times New Roman" w:hint="eastAsia"/>
          <w:sz w:val="24"/>
        </w:rPr>
        <w:t>法充分</w:t>
      </w:r>
      <w:proofErr w:type="gramEnd"/>
      <w:r>
        <w:rPr>
          <w:rFonts w:ascii="Times New Roman" w:hAnsi="Times New Roman" w:cs="Times New Roman" w:hint="eastAsia"/>
          <w:sz w:val="24"/>
        </w:rPr>
        <w:t>考虑了市场变动因素，能够比较真实地反映评估对象的市场价值。</w:t>
      </w:r>
    </w:p>
    <w:p w14:paraId="7363D675"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资产基础法为从资产重置的角度评价资产的公平市场价值，仅能反映企业资</w:t>
      </w:r>
      <w:r>
        <w:rPr>
          <w:rFonts w:ascii="Times New Roman" w:hAnsi="Times New Roman" w:cs="Times New Roman" w:hint="eastAsia"/>
          <w:sz w:val="24"/>
        </w:rPr>
        <w:lastRenderedPageBreak/>
        <w:t>产的自身价值。资产的价值通常不是基于重新购建该等资产所花费的成本，而是</w:t>
      </w:r>
      <w:proofErr w:type="gramStart"/>
      <w:r>
        <w:rPr>
          <w:rFonts w:ascii="Times New Roman" w:hAnsi="Times New Roman" w:cs="Times New Roman" w:hint="eastAsia"/>
          <w:sz w:val="24"/>
        </w:rPr>
        <w:t>基于被</w:t>
      </w:r>
      <w:proofErr w:type="gramEnd"/>
      <w:r>
        <w:rPr>
          <w:rFonts w:ascii="Times New Roman" w:hAnsi="Times New Roman" w:cs="Times New Roman" w:hint="eastAsia"/>
          <w:sz w:val="24"/>
        </w:rPr>
        <w:t>评估单位评估基准日比较真实的市场价值。</w:t>
      </w:r>
    </w:p>
    <w:p w14:paraId="58272E0E" w14:textId="25027362"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经过对被评估单位财务状况的调查及经营状况分析，结合本次评估对象、评估目的，适用的价值类型，经过比较分析，市场法的评估结论能更全面、合理地反映企业的内含价值，故本次采用市场法评估结果作为本次评估的最终评估结论。</w:t>
      </w:r>
    </w:p>
    <w:p w14:paraId="721EB7C2"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综合以上原因，本次采用市场法评估结果是合理的。</w:t>
      </w:r>
    </w:p>
    <w:p w14:paraId="1F7C842A" w14:textId="77777777" w:rsidR="00BD3166" w:rsidRDefault="00C64679">
      <w:pPr>
        <w:spacing w:line="360" w:lineRule="auto"/>
        <w:ind w:firstLineChars="200" w:firstLine="482"/>
        <w:outlineLvl w:val="1"/>
        <w:rPr>
          <w:rFonts w:ascii="Times New Roman" w:hAnsi="Times New Roman" w:cs="Times New Roman"/>
          <w:b/>
          <w:bCs/>
          <w:sz w:val="24"/>
        </w:rPr>
      </w:pPr>
      <w:r>
        <w:rPr>
          <w:rFonts w:ascii="Times New Roman" w:hAnsi="Times New Roman" w:cs="Times New Roman" w:hint="eastAsia"/>
          <w:b/>
          <w:bCs/>
          <w:sz w:val="24"/>
        </w:rPr>
        <w:t>二、市场法评估时，剔除前期财务整改对标的公司财务数据影响的原因及合理性</w:t>
      </w:r>
    </w:p>
    <w:p w14:paraId="06E70E50" w14:textId="6A113BC2" w:rsidR="00BD3166" w:rsidRDefault="00C64679">
      <w:pPr>
        <w:spacing w:line="360" w:lineRule="auto"/>
        <w:ind w:firstLineChars="200" w:firstLine="482"/>
        <w:outlineLvl w:val="2"/>
        <w:rPr>
          <w:rFonts w:ascii="Times New Roman" w:hAnsi="Times New Roman" w:cs="Times New Roman"/>
          <w:b/>
          <w:bCs/>
          <w:sz w:val="24"/>
        </w:rPr>
      </w:pPr>
      <w:r>
        <w:rPr>
          <w:rFonts w:ascii="Times New Roman" w:hAnsi="Times New Roman" w:cs="Times New Roman" w:hint="eastAsia"/>
          <w:b/>
          <w:bCs/>
          <w:sz w:val="24"/>
        </w:rPr>
        <w:t>（一）剔除前期财务整改对标的公司财务数据影响的背景</w:t>
      </w:r>
    </w:p>
    <w:p w14:paraId="691CB860" w14:textId="77777777" w:rsidR="00BD3166" w:rsidRDefault="00C64679">
      <w:pPr>
        <w:spacing w:line="360" w:lineRule="auto"/>
        <w:ind w:firstLineChars="200" w:firstLine="480"/>
        <w:rPr>
          <w:rFonts w:ascii="宋体" w:eastAsia="宋体" w:hAnsi="宋体"/>
          <w:sz w:val="24"/>
          <w:szCs w:val="28"/>
        </w:rPr>
      </w:pPr>
      <w:r>
        <w:rPr>
          <w:rFonts w:ascii="宋体" w:eastAsia="宋体" w:hAnsi="宋体" w:hint="eastAsia"/>
          <w:sz w:val="24"/>
          <w:szCs w:val="28"/>
        </w:rPr>
        <w:t>大唐微电子技术有限公司自</w:t>
      </w:r>
      <w:r>
        <w:rPr>
          <w:rFonts w:ascii="宋体" w:eastAsia="宋体" w:hAnsi="宋体"/>
          <w:sz w:val="24"/>
          <w:szCs w:val="28"/>
        </w:rPr>
        <w:t>2011年起开展与北京实利通和科技发展有限公司（以下简称“实利通和”）的贸易业务。</w:t>
      </w:r>
      <w:r>
        <w:rPr>
          <w:rFonts w:ascii="宋体" w:eastAsia="宋体" w:hAnsi="宋体" w:hint="eastAsia"/>
          <w:sz w:val="24"/>
          <w:szCs w:val="28"/>
        </w:rPr>
        <w:t>大唐微电子技术有限公司</w:t>
      </w:r>
      <w:r>
        <w:rPr>
          <w:rFonts w:ascii="宋体" w:eastAsia="宋体" w:hAnsi="宋体"/>
          <w:sz w:val="24"/>
          <w:szCs w:val="28"/>
        </w:rPr>
        <w:t>主要从北京神州泰岳系统集成有限公司（以下简称“神州泰岳”）购入HP服务器等品牌服务器，然后将产品销售给客户实利通</w:t>
      </w:r>
      <w:proofErr w:type="gramStart"/>
      <w:r>
        <w:rPr>
          <w:rFonts w:ascii="宋体" w:eastAsia="宋体" w:hAnsi="宋体"/>
          <w:sz w:val="24"/>
          <w:szCs w:val="28"/>
        </w:rPr>
        <w:t>和</w:t>
      </w:r>
      <w:proofErr w:type="gramEnd"/>
      <w:r>
        <w:rPr>
          <w:rFonts w:ascii="宋体" w:eastAsia="宋体" w:hAnsi="宋体"/>
          <w:sz w:val="24"/>
          <w:szCs w:val="28"/>
        </w:rPr>
        <w:t>。</w:t>
      </w:r>
      <w:r>
        <w:rPr>
          <w:rFonts w:ascii="宋体" w:eastAsia="宋体" w:hAnsi="宋体" w:hint="eastAsia"/>
          <w:sz w:val="24"/>
          <w:szCs w:val="28"/>
        </w:rPr>
        <w:t>业务开展伊始，经大唐微电子技术有限公司调查分析发现，上游供应商神州泰岳作为国内</w:t>
      </w:r>
      <w:r>
        <w:rPr>
          <w:rFonts w:ascii="宋体" w:eastAsia="宋体" w:hAnsi="宋体"/>
          <w:sz w:val="24"/>
          <w:szCs w:val="28"/>
        </w:rPr>
        <w:t>ICT运营管理软件和解决方案提供商，</w:t>
      </w:r>
      <w:r>
        <w:rPr>
          <w:rFonts w:ascii="宋体" w:eastAsia="宋体" w:hAnsi="宋体" w:hint="eastAsia"/>
          <w:sz w:val="24"/>
          <w:szCs w:val="28"/>
        </w:rPr>
        <w:t>主要</w:t>
      </w:r>
      <w:r>
        <w:rPr>
          <w:rFonts w:ascii="宋体" w:eastAsia="宋体" w:hAnsi="宋体"/>
          <w:sz w:val="24"/>
          <w:szCs w:val="28"/>
        </w:rPr>
        <w:t>服务于电信行业的大中型企业和政府机关，其IT类销售业务市场占有率高</w:t>
      </w:r>
      <w:r>
        <w:rPr>
          <w:rFonts w:ascii="宋体" w:eastAsia="宋体" w:hAnsi="宋体" w:hint="eastAsia"/>
          <w:sz w:val="24"/>
          <w:szCs w:val="28"/>
        </w:rPr>
        <w:t>；</w:t>
      </w:r>
      <w:r>
        <w:rPr>
          <w:rFonts w:ascii="宋体" w:eastAsia="宋体" w:hAnsi="宋体"/>
          <w:sz w:val="24"/>
          <w:szCs w:val="28"/>
        </w:rPr>
        <w:t>下游客户实利通和是一家以IT产品供应为主业的民营企业，有销售惠普服务器类的IT产品的需求。而彼时</w:t>
      </w:r>
      <w:r>
        <w:rPr>
          <w:rFonts w:ascii="宋体" w:eastAsia="宋体" w:hAnsi="宋体" w:hint="eastAsia"/>
          <w:sz w:val="24"/>
          <w:szCs w:val="28"/>
        </w:rPr>
        <w:t>大唐微电子技术有限公司</w:t>
      </w:r>
      <w:r>
        <w:rPr>
          <w:rFonts w:ascii="宋体" w:eastAsia="宋体" w:hAnsi="宋体"/>
          <w:sz w:val="24"/>
          <w:szCs w:val="28"/>
        </w:rPr>
        <w:t>作为国有大型信息技术企业，凭借系统集成业务行业领先的地位，大力拓展IT类产品的销售业务，</w:t>
      </w:r>
      <w:r>
        <w:rPr>
          <w:rFonts w:ascii="宋体" w:eastAsia="宋体" w:hAnsi="宋体" w:hint="eastAsia"/>
          <w:sz w:val="24"/>
          <w:szCs w:val="28"/>
        </w:rPr>
        <w:t>因此开拓此项贸易业务。</w:t>
      </w:r>
      <w:r>
        <w:rPr>
          <w:rFonts w:ascii="宋体" w:eastAsia="宋体" w:hAnsi="宋体"/>
          <w:sz w:val="24"/>
          <w:szCs w:val="28"/>
        </w:rPr>
        <w:t>此业务截至2017年6月前，三方公司未出现拖欠货款、延迟交付等</w:t>
      </w:r>
      <w:r>
        <w:rPr>
          <w:rFonts w:ascii="宋体" w:eastAsia="宋体" w:hAnsi="宋体" w:hint="eastAsia"/>
          <w:sz w:val="24"/>
          <w:szCs w:val="28"/>
        </w:rPr>
        <w:t>情况</w:t>
      </w:r>
      <w:r>
        <w:rPr>
          <w:rFonts w:ascii="宋体" w:eastAsia="宋体" w:hAnsi="宋体"/>
          <w:sz w:val="24"/>
          <w:szCs w:val="28"/>
        </w:rPr>
        <w:t>。</w:t>
      </w:r>
    </w:p>
    <w:p w14:paraId="0DDA2640" w14:textId="77777777" w:rsidR="00BD3166" w:rsidRDefault="00C64679">
      <w:pPr>
        <w:spacing w:line="360" w:lineRule="auto"/>
        <w:ind w:firstLineChars="200" w:firstLine="480"/>
        <w:rPr>
          <w:rFonts w:ascii="宋体" w:eastAsia="宋体" w:hAnsi="宋体"/>
          <w:sz w:val="24"/>
          <w:szCs w:val="28"/>
        </w:rPr>
      </w:pPr>
      <w:r>
        <w:rPr>
          <w:rFonts w:ascii="宋体" w:eastAsia="宋体" w:hAnsi="宋体"/>
          <w:sz w:val="24"/>
          <w:szCs w:val="28"/>
        </w:rPr>
        <w:t>2017年6月，实利通和开始出现给付货款困难，从而导致</w:t>
      </w:r>
      <w:r>
        <w:rPr>
          <w:rFonts w:ascii="宋体" w:eastAsia="宋体" w:hAnsi="宋体" w:hint="eastAsia"/>
          <w:sz w:val="24"/>
          <w:szCs w:val="28"/>
        </w:rPr>
        <w:t>大唐微电子技术有限公司</w:t>
      </w:r>
      <w:r>
        <w:rPr>
          <w:rFonts w:ascii="宋体" w:eastAsia="宋体" w:hAnsi="宋体"/>
          <w:sz w:val="24"/>
          <w:szCs w:val="28"/>
        </w:rPr>
        <w:t>未能按期收款。实利通和出现此情况后，</w:t>
      </w:r>
      <w:r>
        <w:rPr>
          <w:rFonts w:ascii="宋体" w:eastAsia="宋体" w:hAnsi="宋体" w:hint="eastAsia"/>
          <w:sz w:val="24"/>
          <w:szCs w:val="28"/>
        </w:rPr>
        <w:t>大唐微电子技术有限公司</w:t>
      </w:r>
      <w:r>
        <w:rPr>
          <w:rFonts w:ascii="宋体" w:eastAsia="宋体" w:hAnsi="宋体"/>
          <w:sz w:val="24"/>
          <w:szCs w:val="28"/>
        </w:rPr>
        <w:t>在追讨欠款过程中，发现其实际控制人刘宇阳出境美国且拒不返回，</w:t>
      </w:r>
      <w:r>
        <w:rPr>
          <w:rFonts w:ascii="宋体" w:eastAsia="宋体" w:hAnsi="宋体" w:hint="eastAsia"/>
          <w:sz w:val="24"/>
          <w:szCs w:val="28"/>
        </w:rPr>
        <w:t>大唐微电子技术有限公司</w:t>
      </w:r>
      <w:r>
        <w:rPr>
          <w:rFonts w:ascii="宋体" w:eastAsia="宋体" w:hAnsi="宋体"/>
          <w:sz w:val="24"/>
          <w:szCs w:val="28"/>
        </w:rPr>
        <w:t>利益受到侵害。2017年8月30日</w:t>
      </w:r>
      <w:r>
        <w:rPr>
          <w:rFonts w:ascii="宋体" w:eastAsia="宋体" w:hAnsi="宋体" w:hint="eastAsia"/>
          <w:sz w:val="24"/>
          <w:szCs w:val="28"/>
        </w:rPr>
        <w:t>，大唐电信科技股份有限公司以涉嫌合同诈骗为由</w:t>
      </w:r>
      <w:r>
        <w:rPr>
          <w:rFonts w:ascii="宋体" w:eastAsia="宋体" w:hAnsi="宋体"/>
          <w:sz w:val="24"/>
          <w:szCs w:val="28"/>
        </w:rPr>
        <w:t>向北京市公安局经侦总队刑事举报实利通和及其实际控制人。</w:t>
      </w:r>
      <w:r>
        <w:rPr>
          <w:rFonts w:ascii="宋体" w:eastAsia="宋体" w:hAnsi="宋体" w:hint="eastAsia"/>
          <w:sz w:val="24"/>
          <w:szCs w:val="28"/>
        </w:rPr>
        <w:t>同年</w:t>
      </w:r>
      <w:r>
        <w:rPr>
          <w:rFonts w:ascii="宋体" w:eastAsia="宋体" w:hAnsi="宋体"/>
          <w:sz w:val="24"/>
          <w:szCs w:val="28"/>
        </w:rPr>
        <w:t>11月，</w:t>
      </w:r>
      <w:r>
        <w:rPr>
          <w:rFonts w:ascii="宋体" w:eastAsia="宋体" w:hAnsi="宋体" w:hint="eastAsia"/>
          <w:sz w:val="24"/>
          <w:szCs w:val="28"/>
        </w:rPr>
        <w:t>北京市</w:t>
      </w:r>
      <w:r>
        <w:rPr>
          <w:rFonts w:ascii="宋体" w:eastAsia="宋体" w:hAnsi="宋体"/>
          <w:sz w:val="24"/>
          <w:szCs w:val="28"/>
        </w:rPr>
        <w:t>海淀区公安局正式立案调查。截至目前，案件仍在刑事侦查过程中。</w:t>
      </w:r>
    </w:p>
    <w:p w14:paraId="04FA23E5" w14:textId="322E746B" w:rsidR="00BD3166" w:rsidRDefault="00C64679">
      <w:pPr>
        <w:spacing w:line="360" w:lineRule="auto"/>
        <w:ind w:firstLineChars="200" w:firstLine="480"/>
        <w:rPr>
          <w:rFonts w:ascii="宋体" w:eastAsia="宋体" w:hAnsi="宋体"/>
          <w:sz w:val="24"/>
          <w:szCs w:val="28"/>
        </w:rPr>
      </w:pPr>
      <w:r>
        <w:rPr>
          <w:rFonts w:ascii="宋体" w:eastAsia="宋体" w:hAnsi="宋体"/>
          <w:sz w:val="24"/>
          <w:szCs w:val="28"/>
        </w:rPr>
        <w:t>2011年至2017年间，</w:t>
      </w:r>
      <w:r>
        <w:rPr>
          <w:rFonts w:ascii="宋体" w:eastAsia="宋体" w:hAnsi="宋体" w:hint="eastAsia"/>
          <w:sz w:val="24"/>
          <w:szCs w:val="28"/>
        </w:rPr>
        <w:t>大唐微电子技术有限公司</w:t>
      </w:r>
      <w:r>
        <w:rPr>
          <w:rFonts w:ascii="宋体" w:eastAsia="宋体" w:hAnsi="宋体"/>
          <w:sz w:val="24"/>
          <w:szCs w:val="28"/>
        </w:rPr>
        <w:t>对实利通和贸易业务共确认</w:t>
      </w:r>
      <w:r>
        <w:rPr>
          <w:rFonts w:ascii="宋体" w:eastAsia="宋体" w:hAnsi="宋体" w:hint="eastAsia"/>
          <w:sz w:val="24"/>
          <w:szCs w:val="28"/>
        </w:rPr>
        <w:t>毛利</w:t>
      </w:r>
      <w:r>
        <w:rPr>
          <w:rFonts w:ascii="宋体" w:eastAsia="宋体" w:hAnsi="宋体"/>
          <w:sz w:val="24"/>
          <w:szCs w:val="28"/>
        </w:rPr>
        <w:t>2,254.17万元</w:t>
      </w:r>
      <w:r>
        <w:rPr>
          <w:rFonts w:ascii="宋体" w:eastAsia="宋体" w:hAnsi="宋体" w:hint="eastAsia"/>
          <w:sz w:val="24"/>
          <w:szCs w:val="28"/>
        </w:rPr>
        <w:t>。</w:t>
      </w:r>
      <w:r>
        <w:rPr>
          <w:rFonts w:ascii="宋体" w:eastAsia="宋体" w:hAnsi="宋体"/>
          <w:sz w:val="24"/>
          <w:szCs w:val="28"/>
        </w:rPr>
        <w:t>截至目前</w:t>
      </w:r>
      <w:r>
        <w:rPr>
          <w:rFonts w:ascii="宋体" w:eastAsia="宋体" w:hAnsi="宋体" w:hint="eastAsia"/>
          <w:sz w:val="24"/>
          <w:szCs w:val="28"/>
        </w:rPr>
        <w:t>，</w:t>
      </w:r>
      <w:r>
        <w:rPr>
          <w:rFonts w:ascii="宋体" w:eastAsia="宋体" w:hAnsi="宋体"/>
          <w:sz w:val="24"/>
          <w:szCs w:val="28"/>
        </w:rPr>
        <w:t>账面应收实利通和</w:t>
      </w:r>
      <w:r>
        <w:rPr>
          <w:rFonts w:ascii="宋体" w:eastAsia="宋体" w:hAnsi="宋体" w:hint="eastAsia"/>
          <w:sz w:val="24"/>
          <w:szCs w:val="28"/>
        </w:rPr>
        <w:t>账款</w:t>
      </w:r>
      <w:r>
        <w:rPr>
          <w:rFonts w:ascii="宋体" w:eastAsia="宋体" w:hAnsi="宋体"/>
          <w:sz w:val="24"/>
          <w:szCs w:val="28"/>
        </w:rPr>
        <w:t>余额为19</w:t>
      </w:r>
      <w:r>
        <w:rPr>
          <w:rFonts w:ascii="宋体" w:eastAsia="宋体" w:hAnsi="宋体" w:hint="eastAsia"/>
          <w:sz w:val="24"/>
          <w:szCs w:val="28"/>
        </w:rPr>
        <w:t>,</w:t>
      </w:r>
      <w:r>
        <w:rPr>
          <w:rFonts w:ascii="宋体" w:eastAsia="宋体" w:hAnsi="宋体"/>
          <w:sz w:val="24"/>
          <w:szCs w:val="28"/>
        </w:rPr>
        <w:t>367.18万元，</w:t>
      </w:r>
      <w:r>
        <w:rPr>
          <w:rFonts w:ascii="宋体" w:eastAsia="宋体" w:hAnsi="宋体"/>
          <w:sz w:val="24"/>
          <w:szCs w:val="28"/>
        </w:rPr>
        <w:lastRenderedPageBreak/>
        <w:t>已于2017年底计提减值准备13,557.02万元，对神州泰岳应付</w:t>
      </w:r>
      <w:r>
        <w:rPr>
          <w:rFonts w:ascii="宋体" w:eastAsia="宋体" w:hAnsi="宋体" w:hint="eastAsia"/>
          <w:sz w:val="24"/>
          <w:szCs w:val="28"/>
        </w:rPr>
        <w:t>账款余额</w:t>
      </w:r>
      <w:r>
        <w:rPr>
          <w:rFonts w:ascii="宋体" w:eastAsia="宋体" w:hAnsi="宋体"/>
          <w:sz w:val="24"/>
          <w:szCs w:val="28"/>
        </w:rPr>
        <w:t>为9</w:t>
      </w:r>
      <w:r>
        <w:rPr>
          <w:rFonts w:ascii="宋体" w:eastAsia="宋体" w:hAnsi="宋体" w:hint="eastAsia"/>
          <w:sz w:val="24"/>
          <w:szCs w:val="28"/>
        </w:rPr>
        <w:t>,</w:t>
      </w:r>
      <w:r>
        <w:rPr>
          <w:rFonts w:ascii="宋体" w:eastAsia="宋体" w:hAnsi="宋体"/>
          <w:sz w:val="24"/>
          <w:szCs w:val="28"/>
        </w:rPr>
        <w:t>757</w:t>
      </w:r>
      <w:r>
        <w:rPr>
          <w:rFonts w:ascii="宋体" w:eastAsia="宋体" w:hAnsi="宋体" w:hint="eastAsia"/>
          <w:sz w:val="24"/>
          <w:szCs w:val="28"/>
        </w:rPr>
        <w:t>.</w:t>
      </w:r>
      <w:r>
        <w:rPr>
          <w:rFonts w:ascii="宋体" w:eastAsia="宋体" w:hAnsi="宋体"/>
          <w:sz w:val="24"/>
          <w:szCs w:val="28"/>
        </w:rPr>
        <w:t>84万元。2017年末，对此款项进行减值测试时，充分考虑了案件不确定性产生的影响，对涉及实利通和的应收账款按照70%的比例进行单项计提。</w:t>
      </w:r>
    </w:p>
    <w:p w14:paraId="0B3FB5FA" w14:textId="77777777" w:rsidR="00BD3166" w:rsidRDefault="00C64679">
      <w:pPr>
        <w:spacing w:line="360" w:lineRule="auto"/>
        <w:ind w:firstLineChars="200" w:firstLine="480"/>
        <w:rPr>
          <w:rFonts w:ascii="宋体" w:eastAsia="宋体" w:hAnsi="宋体"/>
          <w:sz w:val="24"/>
          <w:szCs w:val="28"/>
        </w:rPr>
      </w:pPr>
      <w:r>
        <w:rPr>
          <w:rFonts w:ascii="宋体" w:eastAsia="宋体" w:hAnsi="宋体" w:hint="eastAsia"/>
          <w:sz w:val="24"/>
          <w:szCs w:val="28"/>
        </w:rPr>
        <w:t>2</w:t>
      </w:r>
      <w:r>
        <w:rPr>
          <w:rFonts w:ascii="宋体" w:eastAsia="宋体" w:hAnsi="宋体"/>
          <w:sz w:val="24"/>
          <w:szCs w:val="28"/>
        </w:rPr>
        <w:t>021</w:t>
      </w:r>
      <w:r>
        <w:rPr>
          <w:rFonts w:ascii="宋体" w:eastAsia="宋体" w:hAnsi="宋体" w:hint="eastAsia"/>
          <w:sz w:val="24"/>
          <w:szCs w:val="28"/>
        </w:rPr>
        <w:t>年3月1</w:t>
      </w:r>
      <w:r>
        <w:rPr>
          <w:rFonts w:ascii="宋体" w:eastAsia="宋体" w:hAnsi="宋体"/>
          <w:sz w:val="24"/>
          <w:szCs w:val="28"/>
        </w:rPr>
        <w:t>0</w:t>
      </w:r>
      <w:r>
        <w:rPr>
          <w:rFonts w:ascii="宋体" w:eastAsia="宋体" w:hAnsi="宋体" w:hint="eastAsia"/>
          <w:sz w:val="24"/>
          <w:szCs w:val="28"/>
        </w:rPr>
        <w:t>日，大唐电信科技股份有限公司收到中国证券监督管理委员会</w:t>
      </w:r>
      <w:r>
        <w:rPr>
          <w:rFonts w:ascii="宋体" w:eastAsia="宋体" w:hAnsi="宋体"/>
          <w:sz w:val="24"/>
          <w:szCs w:val="28"/>
        </w:rPr>
        <w:t>北京监管局（以下简称“北京证监局”）</w:t>
      </w:r>
      <w:bookmarkStart w:id="10" w:name="OLE_LINK3"/>
      <w:bookmarkStart w:id="11" w:name="OLE_LINK2"/>
      <w:bookmarkStart w:id="12" w:name="OLE_LINK1"/>
      <w:bookmarkStart w:id="13" w:name="OLE_LINK4"/>
      <w:r>
        <w:rPr>
          <w:rFonts w:ascii="宋体" w:eastAsia="宋体" w:hAnsi="宋体"/>
          <w:sz w:val="24"/>
          <w:szCs w:val="28"/>
        </w:rPr>
        <w:t>《关于对大</w:t>
      </w:r>
      <w:r>
        <w:rPr>
          <w:rFonts w:ascii="宋体" w:eastAsia="宋体" w:hAnsi="宋体" w:hint="eastAsia"/>
          <w:sz w:val="24"/>
          <w:szCs w:val="28"/>
        </w:rPr>
        <w:t>唐电信科技股份有限公司采取责令改正措施的决定</w:t>
      </w:r>
      <w:r>
        <w:rPr>
          <w:rFonts w:ascii="宋体" w:eastAsia="宋体" w:hAnsi="宋体"/>
          <w:sz w:val="24"/>
          <w:szCs w:val="28"/>
        </w:rPr>
        <w:t>》</w:t>
      </w:r>
      <w:r>
        <w:rPr>
          <w:rFonts w:ascii="宋体" w:eastAsia="宋体" w:hAnsi="宋体" w:hint="eastAsia"/>
          <w:sz w:val="24"/>
          <w:szCs w:val="28"/>
        </w:rPr>
        <w:t>（</w:t>
      </w:r>
      <w:r>
        <w:rPr>
          <w:rFonts w:ascii="宋体" w:eastAsia="宋体" w:hAnsi="宋体"/>
          <w:sz w:val="24"/>
          <w:szCs w:val="28"/>
        </w:rPr>
        <w:t>行政监管措施决定书[2021]27号</w:t>
      </w:r>
      <w:r>
        <w:rPr>
          <w:rFonts w:ascii="宋体" w:eastAsia="宋体" w:hAnsi="宋体" w:hint="eastAsia"/>
          <w:sz w:val="24"/>
          <w:szCs w:val="28"/>
        </w:rPr>
        <w:t>，具体内容详见</w:t>
      </w:r>
      <w:r>
        <w:rPr>
          <w:rFonts w:ascii="宋体" w:eastAsia="宋体" w:hAnsi="宋体"/>
          <w:sz w:val="24"/>
          <w:szCs w:val="28"/>
        </w:rPr>
        <w:t>2021</w:t>
      </w:r>
      <w:r>
        <w:rPr>
          <w:rFonts w:ascii="宋体" w:eastAsia="宋体" w:hAnsi="宋体" w:hint="eastAsia"/>
          <w:sz w:val="24"/>
          <w:szCs w:val="28"/>
        </w:rPr>
        <w:t>-</w:t>
      </w:r>
      <w:r>
        <w:rPr>
          <w:rFonts w:ascii="宋体" w:eastAsia="宋体" w:hAnsi="宋体"/>
          <w:sz w:val="24"/>
          <w:szCs w:val="28"/>
        </w:rPr>
        <w:t>015</w:t>
      </w:r>
      <w:r>
        <w:rPr>
          <w:rFonts w:ascii="宋体" w:eastAsia="宋体" w:hAnsi="宋体" w:hint="eastAsia"/>
          <w:sz w:val="24"/>
          <w:szCs w:val="28"/>
        </w:rPr>
        <w:t>号公告）。</w:t>
      </w:r>
      <w:bookmarkEnd w:id="10"/>
      <w:bookmarkEnd w:id="11"/>
      <w:bookmarkEnd w:id="12"/>
      <w:bookmarkEnd w:id="13"/>
      <w:r>
        <w:rPr>
          <w:rFonts w:ascii="宋体" w:eastAsia="宋体" w:hAnsi="宋体" w:hint="eastAsia"/>
          <w:sz w:val="24"/>
          <w:szCs w:val="28"/>
        </w:rPr>
        <w:t>根据大唐电信科技股份有限公司关于就北京证监局《行政监管措施决定书》进行财务整改的公告（具体内容详见</w:t>
      </w:r>
      <w:r>
        <w:rPr>
          <w:rFonts w:ascii="宋体" w:eastAsia="宋体" w:hAnsi="宋体" w:hint="eastAsia"/>
          <w:kern w:val="0"/>
          <w:sz w:val="24"/>
        </w:rPr>
        <w:t>2021-021号公告</w:t>
      </w:r>
      <w:r>
        <w:rPr>
          <w:rFonts w:ascii="宋体" w:eastAsia="宋体" w:hAnsi="宋体" w:hint="eastAsia"/>
          <w:sz w:val="24"/>
          <w:szCs w:val="28"/>
        </w:rPr>
        <w:t>）内容，大唐微电子技术有限公司基于谨慎性原则和实际情况，对实利通和事项的调整为“冲回毛利确认营业外支出</w:t>
      </w:r>
      <w:r>
        <w:rPr>
          <w:rFonts w:ascii="宋体" w:eastAsia="宋体" w:hAnsi="宋体"/>
          <w:sz w:val="24"/>
          <w:szCs w:val="28"/>
        </w:rPr>
        <w:t>2,254.17万元，补提剩余坏账3</w:t>
      </w:r>
      <w:r>
        <w:rPr>
          <w:rFonts w:ascii="宋体" w:eastAsia="宋体" w:hAnsi="宋体" w:hint="eastAsia"/>
          <w:sz w:val="24"/>
          <w:szCs w:val="28"/>
        </w:rPr>
        <w:t>,</w:t>
      </w:r>
      <w:r>
        <w:rPr>
          <w:rFonts w:ascii="宋体" w:eastAsia="宋体" w:hAnsi="宋体"/>
          <w:sz w:val="24"/>
          <w:szCs w:val="28"/>
        </w:rPr>
        <w:t>555.98万</w:t>
      </w:r>
      <w:r>
        <w:rPr>
          <w:rFonts w:ascii="宋体" w:eastAsia="宋体" w:hAnsi="宋体" w:hint="eastAsia"/>
          <w:sz w:val="24"/>
          <w:szCs w:val="28"/>
        </w:rPr>
        <w:t>元</w:t>
      </w:r>
      <w:r>
        <w:rPr>
          <w:rFonts w:ascii="宋体" w:eastAsia="宋体" w:hAnsi="宋体"/>
          <w:sz w:val="24"/>
          <w:szCs w:val="28"/>
        </w:rPr>
        <w:t>，总计影响利润总额5</w:t>
      </w:r>
      <w:r>
        <w:rPr>
          <w:rFonts w:ascii="宋体" w:eastAsia="宋体" w:hAnsi="宋体" w:hint="eastAsia"/>
          <w:sz w:val="24"/>
          <w:szCs w:val="28"/>
        </w:rPr>
        <w:t>,</w:t>
      </w:r>
      <w:r>
        <w:rPr>
          <w:rFonts w:ascii="宋体" w:eastAsia="宋体" w:hAnsi="宋体"/>
          <w:sz w:val="24"/>
          <w:szCs w:val="28"/>
        </w:rPr>
        <w:t>810.15万元</w:t>
      </w:r>
      <w:r>
        <w:rPr>
          <w:rFonts w:ascii="宋体" w:eastAsia="宋体" w:hAnsi="宋体" w:hint="eastAsia"/>
          <w:sz w:val="24"/>
          <w:szCs w:val="28"/>
        </w:rPr>
        <w:t>”。调整后，大唐微电子技术有限公司2</w:t>
      </w:r>
      <w:r>
        <w:rPr>
          <w:rFonts w:ascii="宋体" w:eastAsia="宋体" w:hAnsi="宋体"/>
          <w:sz w:val="24"/>
          <w:szCs w:val="28"/>
        </w:rPr>
        <w:t>020</w:t>
      </w:r>
      <w:r>
        <w:rPr>
          <w:rFonts w:ascii="宋体" w:eastAsia="宋体" w:hAnsi="宋体" w:hint="eastAsia"/>
          <w:sz w:val="24"/>
          <w:szCs w:val="28"/>
        </w:rPr>
        <w:t>年当期报表利润总额为-</w:t>
      </w:r>
      <w:r>
        <w:rPr>
          <w:rFonts w:ascii="宋体" w:eastAsia="宋体" w:hAnsi="宋体"/>
          <w:sz w:val="24"/>
          <w:szCs w:val="28"/>
        </w:rPr>
        <w:t>434.63万元</w:t>
      </w:r>
      <w:r>
        <w:rPr>
          <w:rFonts w:ascii="宋体" w:eastAsia="宋体" w:hAnsi="宋体" w:hint="eastAsia"/>
          <w:sz w:val="24"/>
          <w:szCs w:val="28"/>
        </w:rPr>
        <w:t>，</w:t>
      </w:r>
      <w:r>
        <w:rPr>
          <w:rFonts w:ascii="宋体" w:eastAsia="宋体" w:hAnsi="宋体"/>
          <w:sz w:val="24"/>
          <w:szCs w:val="28"/>
        </w:rPr>
        <w:t>报表净利润为</w:t>
      </w:r>
      <w:r>
        <w:rPr>
          <w:rFonts w:ascii="宋体" w:eastAsia="宋体" w:hAnsi="宋体" w:hint="eastAsia"/>
          <w:sz w:val="24"/>
          <w:szCs w:val="28"/>
        </w:rPr>
        <w:t>-</w:t>
      </w:r>
      <w:r>
        <w:rPr>
          <w:rFonts w:ascii="宋体" w:eastAsia="宋体" w:hAnsi="宋体"/>
          <w:sz w:val="24"/>
          <w:szCs w:val="28"/>
        </w:rPr>
        <w:t>1,529.93万元</w:t>
      </w:r>
      <w:r>
        <w:rPr>
          <w:rFonts w:ascii="宋体" w:eastAsia="宋体" w:hAnsi="宋体" w:hint="eastAsia"/>
          <w:sz w:val="24"/>
          <w:szCs w:val="28"/>
        </w:rPr>
        <w:t>。</w:t>
      </w:r>
    </w:p>
    <w:p w14:paraId="2634EAA0" w14:textId="77777777" w:rsidR="00BD3166" w:rsidRDefault="00C64679">
      <w:pPr>
        <w:spacing w:line="360" w:lineRule="auto"/>
        <w:ind w:firstLineChars="200" w:firstLine="482"/>
        <w:outlineLvl w:val="2"/>
        <w:rPr>
          <w:rFonts w:ascii="宋体" w:eastAsia="宋体" w:hAnsi="宋体"/>
          <w:b/>
          <w:bCs/>
          <w:sz w:val="24"/>
          <w:szCs w:val="28"/>
        </w:rPr>
      </w:pPr>
      <w:r>
        <w:rPr>
          <w:rFonts w:ascii="Times New Roman" w:hAnsi="Times New Roman" w:cs="Times New Roman" w:hint="eastAsia"/>
          <w:b/>
          <w:bCs/>
          <w:sz w:val="24"/>
        </w:rPr>
        <w:t>（二）剔除前期财务整改对标的公司财务数据影响的原因及合理性</w:t>
      </w:r>
    </w:p>
    <w:p w14:paraId="5719B572" w14:textId="3B34F8C6" w:rsidR="00BD3166" w:rsidRDefault="00C6467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按上文“背景”部分所述，前期财务整改系根据监管机构调查结论做出。为体现相关事项对公司业绩的整体影响，公司将以前年度的累计影响全部在</w:t>
      </w:r>
      <w:r>
        <w:rPr>
          <w:rFonts w:ascii="Times New Roman" w:hAnsi="Times New Roman" w:cs="Times New Roman"/>
          <w:sz w:val="24"/>
          <w:szCs w:val="24"/>
        </w:rPr>
        <w:t>2020</w:t>
      </w:r>
      <w:r>
        <w:rPr>
          <w:rFonts w:ascii="Times New Roman" w:hAnsi="Times New Roman" w:cs="Times New Roman" w:hint="eastAsia"/>
          <w:sz w:val="24"/>
          <w:szCs w:val="24"/>
        </w:rPr>
        <w:t>年度财务数据中体现，即“对实利通和事项的调整为冲回毛利确认营业外支出</w:t>
      </w:r>
      <w:r>
        <w:rPr>
          <w:rFonts w:ascii="Times New Roman" w:hAnsi="Times New Roman" w:cs="Times New Roman"/>
          <w:sz w:val="24"/>
          <w:szCs w:val="24"/>
        </w:rPr>
        <w:t>2,254.17</w:t>
      </w:r>
      <w:r>
        <w:rPr>
          <w:rFonts w:ascii="Times New Roman" w:hAnsi="Times New Roman" w:cs="Times New Roman" w:hint="eastAsia"/>
          <w:sz w:val="24"/>
          <w:szCs w:val="24"/>
        </w:rPr>
        <w:t>万元，补提剩余坏账</w:t>
      </w:r>
      <w:r>
        <w:rPr>
          <w:rFonts w:ascii="Times New Roman" w:hAnsi="Times New Roman" w:cs="Times New Roman"/>
          <w:sz w:val="24"/>
          <w:szCs w:val="24"/>
        </w:rPr>
        <w:t>3,555.98</w:t>
      </w:r>
      <w:r>
        <w:rPr>
          <w:rFonts w:ascii="Times New Roman" w:hAnsi="Times New Roman" w:cs="Times New Roman" w:hint="eastAsia"/>
          <w:sz w:val="24"/>
          <w:szCs w:val="24"/>
        </w:rPr>
        <w:t>万元，总计影响利润总额</w:t>
      </w:r>
      <w:r>
        <w:rPr>
          <w:rFonts w:ascii="Times New Roman" w:hAnsi="Times New Roman" w:cs="Times New Roman"/>
          <w:sz w:val="24"/>
          <w:szCs w:val="24"/>
        </w:rPr>
        <w:t>5,810.15</w:t>
      </w:r>
      <w:r>
        <w:rPr>
          <w:rFonts w:ascii="Times New Roman" w:hAnsi="Times New Roman" w:cs="Times New Roman" w:hint="eastAsia"/>
          <w:sz w:val="24"/>
          <w:szCs w:val="24"/>
        </w:rPr>
        <w:t>万元”。</w:t>
      </w:r>
    </w:p>
    <w:p w14:paraId="1052AE88" w14:textId="77777777" w:rsidR="00BD3166" w:rsidRDefault="00C6467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公司自</w:t>
      </w:r>
      <w:r>
        <w:rPr>
          <w:rFonts w:ascii="Times New Roman" w:hAnsi="Times New Roman" w:cs="Times New Roman" w:hint="eastAsia"/>
          <w:sz w:val="24"/>
          <w:szCs w:val="24"/>
        </w:rPr>
        <w:t>2017</w:t>
      </w:r>
      <w:r>
        <w:rPr>
          <w:rFonts w:ascii="Times New Roman" w:hAnsi="Times New Roman" w:cs="Times New Roman" w:hint="eastAsia"/>
          <w:sz w:val="24"/>
          <w:szCs w:val="24"/>
        </w:rPr>
        <w:t>年实利通和贸易业务形成损失后，当即建立了“白名单业务机制”，对存量业务进行严格管控，严禁开展风险较大的贸易业务。同时公司完善了客户信用管理制度，在日常业务开展过程中严格落实信用管理要求，加强对于业务背景、客户资信的调查判断。报告期内，大唐微电子已不存在任何循环贸易，相关财务数据真实完整。</w:t>
      </w:r>
    </w:p>
    <w:p w14:paraId="4EFE6242" w14:textId="7A389DD7" w:rsidR="00BD3166" w:rsidRDefault="00C6467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综上所述，北京实利通和科技发展有限公司事项为标的公司以前年度开展业务所形成的债权和损益潜在影响因素，非标的公司当期正常经营的实际结果体现，标的公司当期的业务模式、经营范围等均未发生本质变化，因此前期财务整改影响后的</w:t>
      </w:r>
      <w:r>
        <w:rPr>
          <w:rFonts w:ascii="Times New Roman" w:hAnsi="Times New Roman" w:cs="Times New Roman" w:hint="eastAsia"/>
          <w:sz w:val="24"/>
          <w:szCs w:val="24"/>
        </w:rPr>
        <w:t>2020</w:t>
      </w:r>
      <w:r>
        <w:rPr>
          <w:rFonts w:ascii="Times New Roman" w:hAnsi="Times New Roman" w:cs="Times New Roman" w:hint="eastAsia"/>
          <w:sz w:val="24"/>
          <w:szCs w:val="24"/>
        </w:rPr>
        <w:t>年净利润并不能真实反映标的公司</w:t>
      </w:r>
      <w:r>
        <w:rPr>
          <w:rFonts w:ascii="Times New Roman" w:hAnsi="Times New Roman" w:cs="Times New Roman" w:hint="eastAsia"/>
          <w:sz w:val="24"/>
          <w:szCs w:val="24"/>
        </w:rPr>
        <w:t>2020</w:t>
      </w:r>
      <w:r>
        <w:rPr>
          <w:rFonts w:ascii="Times New Roman" w:hAnsi="Times New Roman" w:cs="Times New Roman" w:hint="eastAsia"/>
          <w:sz w:val="24"/>
          <w:szCs w:val="24"/>
        </w:rPr>
        <w:t>年度的实际业绩。</w:t>
      </w:r>
    </w:p>
    <w:p w14:paraId="100C696D" w14:textId="380EA0CA" w:rsidR="00BD3166" w:rsidRDefault="00C64679">
      <w:pPr>
        <w:spacing w:line="360" w:lineRule="auto"/>
        <w:ind w:firstLineChars="200" w:firstLine="480"/>
        <w:rPr>
          <w:rFonts w:ascii="宋体" w:eastAsia="宋体" w:hAnsi="宋体"/>
          <w:sz w:val="24"/>
          <w:szCs w:val="28"/>
        </w:rPr>
      </w:pPr>
      <w:r>
        <w:rPr>
          <w:rFonts w:ascii="Times New Roman" w:hAnsi="Times New Roman" w:cs="Times New Roman" w:hint="eastAsia"/>
          <w:sz w:val="24"/>
          <w:szCs w:val="24"/>
        </w:rPr>
        <w:t>除该因素外，大唐微电子</w:t>
      </w:r>
      <w:r>
        <w:rPr>
          <w:rFonts w:ascii="Times New Roman" w:hAnsi="Times New Roman" w:cs="Times New Roman" w:hint="eastAsia"/>
          <w:sz w:val="24"/>
          <w:szCs w:val="24"/>
        </w:rPr>
        <w:t>2</w:t>
      </w:r>
      <w:r>
        <w:rPr>
          <w:rFonts w:ascii="Times New Roman" w:hAnsi="Times New Roman" w:cs="Times New Roman"/>
          <w:sz w:val="24"/>
          <w:szCs w:val="24"/>
        </w:rPr>
        <w:t>020</w:t>
      </w:r>
      <w:r>
        <w:rPr>
          <w:rFonts w:ascii="Times New Roman" w:hAnsi="Times New Roman" w:cs="Times New Roman" w:hint="eastAsia"/>
          <w:sz w:val="24"/>
          <w:szCs w:val="24"/>
        </w:rPr>
        <w:t>年经营情况稳定，财务数据经立信会计师事务所（特殊普通合伙）审计，公允反应了大唐微电子的经营成果和现金流量。扣除该前期财务整改影响，标的公司实际利润总额为</w:t>
      </w:r>
      <w:r>
        <w:rPr>
          <w:rFonts w:ascii="Times New Roman" w:hAnsi="Times New Roman" w:cs="Times New Roman" w:hint="eastAsia"/>
          <w:sz w:val="24"/>
          <w:szCs w:val="24"/>
        </w:rPr>
        <w:t>5,375.53</w:t>
      </w:r>
      <w:r>
        <w:rPr>
          <w:rFonts w:ascii="Times New Roman" w:hAnsi="Times New Roman" w:cs="Times New Roman" w:hint="eastAsia"/>
          <w:sz w:val="24"/>
          <w:szCs w:val="24"/>
        </w:rPr>
        <w:t>万元，净利润为</w:t>
      </w:r>
      <w:r>
        <w:rPr>
          <w:rFonts w:ascii="Times New Roman" w:hAnsi="Times New Roman" w:cs="Times New Roman" w:hint="eastAsia"/>
          <w:sz w:val="24"/>
          <w:szCs w:val="24"/>
        </w:rPr>
        <w:lastRenderedPageBreak/>
        <w:t>4,280.22</w:t>
      </w:r>
      <w:r>
        <w:rPr>
          <w:rFonts w:ascii="Times New Roman" w:hAnsi="Times New Roman" w:cs="Times New Roman" w:hint="eastAsia"/>
          <w:sz w:val="24"/>
          <w:szCs w:val="24"/>
        </w:rPr>
        <w:t>万元。前期财务整改影响系偶发、非经常性、以前年度因素而非</w:t>
      </w:r>
      <w:r>
        <w:rPr>
          <w:rFonts w:ascii="Times New Roman" w:hAnsi="Times New Roman" w:cs="Times New Roman" w:hint="eastAsia"/>
          <w:sz w:val="24"/>
          <w:szCs w:val="24"/>
        </w:rPr>
        <w:t>2020</w:t>
      </w:r>
      <w:r>
        <w:rPr>
          <w:rFonts w:ascii="Times New Roman" w:hAnsi="Times New Roman" w:cs="Times New Roman" w:hint="eastAsia"/>
          <w:sz w:val="24"/>
          <w:szCs w:val="24"/>
        </w:rPr>
        <w:t>年当前因素导致的影响，而本次评估目的是用于增资扩股、引入外部投资者，使用剔除该前期财务整改影响的净利润获得的评估结果可体现股东权益公允市场价值。</w:t>
      </w:r>
    </w:p>
    <w:p w14:paraId="47354035" w14:textId="243B437F" w:rsidR="00BD3166" w:rsidRDefault="00C64679">
      <w:pPr>
        <w:spacing w:line="360" w:lineRule="auto"/>
        <w:ind w:firstLineChars="200" w:firstLine="480"/>
        <w:rPr>
          <w:rFonts w:ascii="宋体" w:eastAsia="宋体" w:hAnsi="宋体"/>
          <w:sz w:val="24"/>
          <w:szCs w:val="28"/>
        </w:rPr>
      </w:pPr>
      <w:r>
        <w:rPr>
          <w:rFonts w:ascii="宋体" w:eastAsia="宋体" w:hAnsi="宋体" w:hint="eastAsia"/>
          <w:sz w:val="24"/>
          <w:szCs w:val="28"/>
        </w:rPr>
        <w:t>综上，剔除前期财务整改对标的公司财务数据是合理的。</w:t>
      </w:r>
    </w:p>
    <w:p w14:paraId="60ED0147" w14:textId="77777777" w:rsidR="00BD3166" w:rsidRDefault="00C64679">
      <w:pPr>
        <w:spacing w:line="360" w:lineRule="auto"/>
        <w:ind w:firstLineChars="200" w:firstLine="482"/>
        <w:outlineLvl w:val="1"/>
        <w:rPr>
          <w:rFonts w:ascii="宋体" w:eastAsia="宋体" w:hAnsi="宋体"/>
          <w:b/>
          <w:bCs/>
          <w:sz w:val="24"/>
          <w:szCs w:val="28"/>
        </w:rPr>
      </w:pPr>
      <w:r>
        <w:rPr>
          <w:rFonts w:ascii="宋体" w:eastAsia="宋体" w:hAnsi="宋体" w:hint="eastAsia"/>
          <w:b/>
          <w:bCs/>
          <w:sz w:val="24"/>
          <w:szCs w:val="28"/>
        </w:rPr>
        <w:t>三、</w:t>
      </w:r>
      <w:r>
        <w:rPr>
          <w:rFonts w:ascii="Times New Roman" w:hAnsi="Times New Roman" w:cs="Times New Roman" w:hint="eastAsia"/>
          <w:b/>
          <w:bCs/>
          <w:sz w:val="24"/>
        </w:rPr>
        <w:t>列示并分析标的公司与可比公司在主营业务、盈利能力、偿债能力、营运能力、成长能力等方面的具体差异，并说明可比公司的选取是否合理准确，是否具有可比性，评估过程及结果是否公允</w:t>
      </w:r>
    </w:p>
    <w:p w14:paraId="7F56DA54" w14:textId="77777777" w:rsidR="00BD3166" w:rsidRDefault="00C64679">
      <w:pPr>
        <w:spacing w:line="360" w:lineRule="auto"/>
        <w:ind w:firstLineChars="200" w:firstLine="482"/>
        <w:outlineLvl w:val="2"/>
        <w:rPr>
          <w:rFonts w:ascii="Times New Roman" w:hAnsi="Times New Roman" w:cs="Times New Roman"/>
          <w:b/>
          <w:bCs/>
          <w:sz w:val="24"/>
        </w:rPr>
      </w:pPr>
      <w:r>
        <w:rPr>
          <w:rFonts w:ascii="宋体" w:eastAsia="宋体" w:hAnsi="宋体" w:hint="eastAsia"/>
          <w:b/>
          <w:bCs/>
          <w:sz w:val="24"/>
          <w:szCs w:val="28"/>
        </w:rPr>
        <w:t>（一）</w:t>
      </w:r>
      <w:r>
        <w:rPr>
          <w:rFonts w:ascii="Times New Roman" w:hAnsi="Times New Roman" w:cs="Times New Roman" w:hint="eastAsia"/>
          <w:b/>
          <w:bCs/>
          <w:sz w:val="24"/>
        </w:rPr>
        <w:t>标的公司与可比公司在主营业务、盈利能力、偿债能力、营运能力、成长能力等方面的具体差异，并说明可比公司的选取是否合理准确，是否具有可比性</w:t>
      </w:r>
    </w:p>
    <w:p w14:paraId="4202CB0A"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kern w:val="2"/>
          <w:szCs w:val="24"/>
        </w:rPr>
        <w:t>1</w:t>
      </w:r>
      <w:r>
        <w:rPr>
          <w:rFonts w:ascii="Times New Roman" w:eastAsiaTheme="minorEastAsia" w:hAnsi="Times New Roman" w:cs="Times New Roman" w:hint="eastAsia"/>
          <w:kern w:val="2"/>
          <w:szCs w:val="24"/>
        </w:rPr>
        <w:t>、可比公司选择的主要考虑因素有：所在资本市场相同、业务特点相近、上市时间一般不少于</w:t>
      </w:r>
      <w:r>
        <w:rPr>
          <w:rFonts w:ascii="Times New Roman" w:eastAsiaTheme="minorEastAsia" w:hAnsi="Times New Roman" w:cs="Times New Roman"/>
          <w:kern w:val="2"/>
          <w:szCs w:val="24"/>
        </w:rPr>
        <w:t>3</w:t>
      </w:r>
      <w:r>
        <w:rPr>
          <w:rFonts w:ascii="Times New Roman" w:eastAsiaTheme="minorEastAsia" w:hAnsi="Times New Roman" w:cs="Times New Roman"/>
          <w:kern w:val="2"/>
          <w:szCs w:val="24"/>
        </w:rPr>
        <w:t>年。</w:t>
      </w:r>
      <w:r>
        <w:rPr>
          <w:rFonts w:ascii="Times New Roman" w:eastAsiaTheme="minorEastAsia" w:hAnsi="Times New Roman" w:cs="Times New Roman" w:hint="eastAsia"/>
          <w:kern w:val="2"/>
          <w:szCs w:val="24"/>
        </w:rPr>
        <w:t>此次评估可比公司的选取过程、具体情况及主营业务差异说明如下：</w:t>
      </w:r>
    </w:p>
    <w:p w14:paraId="003428A9"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1</w:t>
      </w:r>
      <w:r>
        <w:rPr>
          <w:rFonts w:ascii="Times New Roman" w:eastAsiaTheme="minorEastAsia" w:hAnsi="Times New Roman" w:cs="Times New Roman" w:hint="eastAsia"/>
          <w:kern w:val="2"/>
          <w:szCs w:val="24"/>
        </w:rPr>
        <w:t>）可比上市公司选取过程</w:t>
      </w:r>
    </w:p>
    <w:p w14:paraId="6C088FB1"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具体选取过程如下：</w:t>
      </w:r>
    </w:p>
    <w:p w14:paraId="1F7D7144"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第一步：</w:t>
      </w:r>
      <w:r>
        <w:rPr>
          <w:rFonts w:ascii="Times New Roman" w:eastAsiaTheme="minorEastAsia" w:hAnsi="Times New Roman" w:cs="Times New Roman" w:hint="eastAsia"/>
          <w:kern w:val="2"/>
          <w:szCs w:val="24"/>
        </w:rPr>
        <w:t>Wind</w:t>
      </w:r>
      <w:r>
        <w:rPr>
          <w:rFonts w:ascii="Times New Roman" w:eastAsiaTheme="minorEastAsia" w:hAnsi="Times New Roman" w:cs="Times New Roman" w:hint="eastAsia"/>
          <w:kern w:val="2"/>
          <w:szCs w:val="24"/>
        </w:rPr>
        <w:t>导出的</w:t>
      </w:r>
      <w:proofErr w:type="gramStart"/>
      <w:r>
        <w:rPr>
          <w:rFonts w:ascii="Times New Roman" w:eastAsiaTheme="minorEastAsia" w:hAnsi="Times New Roman" w:cs="Times New Roman" w:hint="eastAsia"/>
          <w:kern w:val="2"/>
          <w:szCs w:val="24"/>
        </w:rPr>
        <w:t>原始相同</w:t>
      </w:r>
      <w:proofErr w:type="gramEnd"/>
      <w:r>
        <w:rPr>
          <w:rFonts w:ascii="Times New Roman" w:eastAsiaTheme="minorEastAsia" w:hAnsi="Times New Roman" w:cs="Times New Roman" w:hint="eastAsia"/>
          <w:kern w:val="2"/>
          <w:szCs w:val="24"/>
        </w:rPr>
        <w:t>行业上市公司列表中，逐项排查，选出以</w:t>
      </w:r>
      <w:bookmarkStart w:id="14" w:name="_Hlk75183088"/>
      <w:r>
        <w:rPr>
          <w:rFonts w:ascii="Times New Roman" w:eastAsiaTheme="minorEastAsia" w:hAnsi="Times New Roman" w:cs="Times New Roman" w:hint="eastAsia"/>
          <w:kern w:val="2"/>
          <w:szCs w:val="24"/>
        </w:rPr>
        <w:t>芯片设计、销售</w:t>
      </w:r>
      <w:bookmarkEnd w:id="14"/>
      <w:r>
        <w:rPr>
          <w:rFonts w:ascii="Times New Roman" w:eastAsiaTheme="minorEastAsia" w:hAnsi="Times New Roman" w:cs="Times New Roman" w:hint="eastAsia"/>
          <w:kern w:val="2"/>
          <w:szCs w:val="24"/>
        </w:rPr>
        <w:t>为主营业务公司，具体如下：</w:t>
      </w:r>
    </w:p>
    <w:p w14:paraId="2A6EF839"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北京君正</w:t>
      </w:r>
      <w:r>
        <w:rPr>
          <w:rFonts w:ascii="Times New Roman" w:eastAsiaTheme="minorEastAsia" w:hAnsi="Times New Roman" w:cs="Times New Roman" w:hint="eastAsia"/>
          <w:kern w:val="2"/>
          <w:szCs w:val="24"/>
        </w:rPr>
        <w:t>(300223.SZ)</w:t>
      </w:r>
      <w:r>
        <w:rPr>
          <w:rFonts w:ascii="Times New Roman" w:eastAsiaTheme="minorEastAsia" w:hAnsi="Times New Roman" w:cs="Times New Roman" w:hint="eastAsia"/>
          <w:kern w:val="2"/>
          <w:szCs w:val="24"/>
        </w:rPr>
        <w:t>、富瀚微</w:t>
      </w:r>
      <w:r>
        <w:rPr>
          <w:rFonts w:ascii="Times New Roman" w:eastAsiaTheme="minorEastAsia" w:hAnsi="Times New Roman" w:cs="Times New Roman" w:hint="eastAsia"/>
          <w:kern w:val="2"/>
          <w:szCs w:val="24"/>
        </w:rPr>
        <w:t>(300613.SZ)</w:t>
      </w:r>
      <w:r>
        <w:rPr>
          <w:rFonts w:ascii="Times New Roman" w:eastAsiaTheme="minorEastAsia" w:hAnsi="Times New Roman" w:cs="Times New Roman" w:hint="eastAsia"/>
          <w:kern w:val="2"/>
          <w:szCs w:val="24"/>
        </w:rPr>
        <w:t>、圣邦股份</w:t>
      </w:r>
      <w:r>
        <w:rPr>
          <w:rFonts w:ascii="Times New Roman" w:eastAsiaTheme="minorEastAsia" w:hAnsi="Times New Roman" w:cs="Times New Roman" w:hint="eastAsia"/>
          <w:kern w:val="2"/>
          <w:szCs w:val="24"/>
        </w:rPr>
        <w:t>(300661.SZ)</w:t>
      </w:r>
      <w:r>
        <w:rPr>
          <w:rFonts w:ascii="Times New Roman" w:eastAsiaTheme="minorEastAsia" w:hAnsi="Times New Roman" w:cs="Times New Roman" w:hint="eastAsia"/>
          <w:kern w:val="2"/>
          <w:szCs w:val="24"/>
        </w:rPr>
        <w:t>、东</w:t>
      </w:r>
      <w:proofErr w:type="gramStart"/>
      <w:r>
        <w:rPr>
          <w:rFonts w:ascii="Times New Roman" w:eastAsiaTheme="minorEastAsia" w:hAnsi="Times New Roman" w:cs="Times New Roman" w:hint="eastAsia"/>
          <w:kern w:val="2"/>
          <w:szCs w:val="24"/>
        </w:rPr>
        <w:t>信和平</w:t>
      </w:r>
      <w:proofErr w:type="gramEnd"/>
      <w:r>
        <w:rPr>
          <w:rFonts w:ascii="Times New Roman" w:eastAsiaTheme="minorEastAsia" w:hAnsi="Times New Roman" w:cs="Times New Roman" w:hint="eastAsia"/>
          <w:kern w:val="2"/>
          <w:szCs w:val="24"/>
        </w:rPr>
        <w:t>(002017.SZ)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兆易创新</w:t>
      </w:r>
      <w:proofErr w:type="gramEnd"/>
      <w:r>
        <w:rPr>
          <w:rFonts w:ascii="Times New Roman" w:eastAsiaTheme="minorEastAsia" w:hAnsi="Times New Roman" w:cs="Times New Roman" w:hint="eastAsia"/>
          <w:kern w:val="2"/>
          <w:szCs w:val="24"/>
        </w:rPr>
        <w:t>(603986.SH)</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紫光国微</w:t>
      </w:r>
      <w:proofErr w:type="gramEnd"/>
      <w:r>
        <w:rPr>
          <w:rFonts w:ascii="Times New Roman" w:eastAsiaTheme="minorEastAsia" w:hAnsi="Times New Roman" w:cs="Times New Roman" w:hint="eastAsia"/>
          <w:kern w:val="2"/>
          <w:szCs w:val="24"/>
        </w:rPr>
        <w:t>(002049.SZ)</w:t>
      </w:r>
      <w:r>
        <w:rPr>
          <w:rFonts w:ascii="Times New Roman" w:eastAsiaTheme="minorEastAsia" w:hAnsi="Times New Roman" w:cs="Times New Roman" w:hint="eastAsia"/>
          <w:kern w:val="2"/>
          <w:szCs w:val="24"/>
        </w:rPr>
        <w:t>、韦尔股份</w:t>
      </w:r>
      <w:r>
        <w:rPr>
          <w:rFonts w:ascii="Times New Roman" w:eastAsiaTheme="minorEastAsia" w:hAnsi="Times New Roman" w:cs="Times New Roman" w:hint="eastAsia"/>
          <w:kern w:val="2"/>
          <w:szCs w:val="24"/>
        </w:rPr>
        <w:t>(603501.SH)</w:t>
      </w:r>
      <w:r>
        <w:rPr>
          <w:rFonts w:ascii="Times New Roman" w:eastAsiaTheme="minorEastAsia" w:hAnsi="Times New Roman" w:cs="Times New Roman" w:hint="eastAsia"/>
          <w:kern w:val="2"/>
          <w:szCs w:val="24"/>
        </w:rPr>
        <w:t>、富满电子</w:t>
      </w:r>
      <w:r>
        <w:rPr>
          <w:rFonts w:ascii="Times New Roman" w:eastAsiaTheme="minorEastAsia" w:hAnsi="Times New Roman" w:cs="Times New Roman" w:hint="eastAsia"/>
          <w:kern w:val="2"/>
          <w:szCs w:val="24"/>
        </w:rPr>
        <w:t>(300671.SZ)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雄帝科技</w:t>
      </w:r>
      <w:proofErr w:type="gramEnd"/>
      <w:r>
        <w:rPr>
          <w:rFonts w:ascii="Times New Roman" w:eastAsiaTheme="minorEastAsia" w:hAnsi="Times New Roman" w:cs="Times New Roman" w:hint="eastAsia"/>
          <w:kern w:val="2"/>
          <w:szCs w:val="24"/>
        </w:rPr>
        <w:t>(300546.SZ)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恒宝股份</w:t>
      </w:r>
      <w:proofErr w:type="gramEnd"/>
      <w:r>
        <w:rPr>
          <w:rFonts w:ascii="Times New Roman" w:eastAsiaTheme="minorEastAsia" w:hAnsi="Times New Roman" w:cs="Times New Roman" w:hint="eastAsia"/>
          <w:kern w:val="2"/>
          <w:szCs w:val="24"/>
        </w:rPr>
        <w:t>(002104.SZ)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澄天伟业</w:t>
      </w:r>
      <w:proofErr w:type="gramEnd"/>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、全志科技</w:t>
      </w:r>
      <w:r>
        <w:rPr>
          <w:rFonts w:ascii="Times New Roman" w:eastAsiaTheme="minorEastAsia" w:hAnsi="Times New Roman" w:cs="Times New Roman" w:hint="eastAsia"/>
          <w:kern w:val="2"/>
          <w:szCs w:val="24"/>
        </w:rPr>
        <w:t>(300458.SZ)</w:t>
      </w:r>
      <w:r>
        <w:rPr>
          <w:rFonts w:ascii="Times New Roman" w:eastAsiaTheme="minorEastAsia" w:hAnsi="Times New Roman" w:cs="Times New Roman" w:hint="eastAsia"/>
          <w:kern w:val="2"/>
          <w:szCs w:val="24"/>
        </w:rPr>
        <w:t>、新国都</w:t>
      </w:r>
      <w:r>
        <w:rPr>
          <w:rFonts w:ascii="Times New Roman" w:eastAsiaTheme="minorEastAsia" w:hAnsi="Times New Roman" w:cs="Times New Roman" w:hint="eastAsia"/>
          <w:kern w:val="2"/>
          <w:szCs w:val="24"/>
        </w:rPr>
        <w:t>(300130.SZ)</w:t>
      </w:r>
      <w:r>
        <w:rPr>
          <w:rFonts w:ascii="Times New Roman" w:eastAsiaTheme="minorEastAsia" w:hAnsi="Times New Roman" w:cs="Times New Roman" w:hint="eastAsia"/>
          <w:kern w:val="2"/>
          <w:szCs w:val="24"/>
        </w:rPr>
        <w:t>、航天信息</w:t>
      </w:r>
      <w:r>
        <w:rPr>
          <w:rFonts w:ascii="Times New Roman" w:eastAsiaTheme="minorEastAsia" w:hAnsi="Times New Roman" w:cs="Times New Roman" w:hint="eastAsia"/>
          <w:kern w:val="2"/>
          <w:szCs w:val="24"/>
        </w:rPr>
        <w:t>(600271.SH)</w:t>
      </w:r>
      <w:r>
        <w:rPr>
          <w:rFonts w:ascii="Times New Roman" w:eastAsiaTheme="minorEastAsia" w:hAnsi="Times New Roman" w:cs="Times New Roman" w:hint="eastAsia"/>
          <w:kern w:val="2"/>
          <w:szCs w:val="24"/>
        </w:rPr>
        <w:t>、上海贝岭</w:t>
      </w:r>
      <w:r>
        <w:rPr>
          <w:rFonts w:ascii="Times New Roman" w:eastAsiaTheme="minorEastAsia" w:hAnsi="Times New Roman" w:cs="Times New Roman" w:hint="eastAsia"/>
          <w:kern w:val="2"/>
          <w:szCs w:val="24"/>
        </w:rPr>
        <w:t>(600171.SH)</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(300327.SZ)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(603160.SH)</w:t>
      </w:r>
      <w:r>
        <w:rPr>
          <w:rFonts w:ascii="Times New Roman" w:eastAsiaTheme="minorEastAsia" w:hAnsi="Times New Roman" w:cs="Times New Roman" w:hint="eastAsia"/>
          <w:kern w:val="2"/>
          <w:szCs w:val="24"/>
        </w:rPr>
        <w:t>、国民技术</w:t>
      </w:r>
      <w:r>
        <w:rPr>
          <w:rFonts w:ascii="Times New Roman" w:eastAsiaTheme="minorEastAsia" w:hAnsi="Times New Roman" w:cs="Times New Roman" w:hint="eastAsia"/>
          <w:kern w:val="2"/>
          <w:szCs w:val="24"/>
        </w:rPr>
        <w:t>(300077.SZ)</w:t>
      </w:r>
      <w:r>
        <w:rPr>
          <w:rFonts w:ascii="Times New Roman" w:eastAsiaTheme="minorEastAsia" w:hAnsi="Times New Roman" w:cs="Times New Roman" w:hint="eastAsia"/>
          <w:kern w:val="2"/>
          <w:szCs w:val="24"/>
        </w:rPr>
        <w:t>、欧比特</w:t>
      </w:r>
      <w:r>
        <w:rPr>
          <w:rFonts w:ascii="Times New Roman" w:eastAsiaTheme="minorEastAsia" w:hAnsi="Times New Roman" w:cs="Times New Roman" w:hint="eastAsia"/>
          <w:kern w:val="2"/>
          <w:szCs w:val="24"/>
        </w:rPr>
        <w:t>(300053.SZ)</w:t>
      </w:r>
      <w:r>
        <w:rPr>
          <w:rFonts w:ascii="Times New Roman" w:eastAsiaTheme="minorEastAsia" w:hAnsi="Times New Roman" w:cs="Times New Roman" w:hint="eastAsia"/>
          <w:kern w:val="2"/>
          <w:szCs w:val="24"/>
        </w:rPr>
        <w:t>、易联众</w:t>
      </w:r>
      <w:r>
        <w:rPr>
          <w:rFonts w:ascii="Times New Roman" w:eastAsiaTheme="minorEastAsia" w:hAnsi="Times New Roman" w:cs="Times New Roman" w:hint="eastAsia"/>
          <w:kern w:val="2"/>
          <w:szCs w:val="24"/>
        </w:rPr>
        <w:t>(300096.SZ)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天喻信息</w:t>
      </w:r>
      <w:proofErr w:type="gramEnd"/>
      <w:r>
        <w:rPr>
          <w:rFonts w:ascii="Times New Roman" w:eastAsiaTheme="minorEastAsia" w:hAnsi="Times New Roman" w:cs="Times New Roman" w:hint="eastAsia"/>
          <w:kern w:val="2"/>
          <w:szCs w:val="24"/>
        </w:rPr>
        <w:t>(300205.SZ)</w:t>
      </w:r>
      <w:r>
        <w:rPr>
          <w:rFonts w:ascii="Times New Roman" w:eastAsiaTheme="minorEastAsia" w:hAnsi="Times New Roman" w:cs="Times New Roman" w:hint="eastAsia"/>
          <w:kern w:val="2"/>
          <w:szCs w:val="24"/>
        </w:rPr>
        <w:t>等合计</w:t>
      </w:r>
      <w:r>
        <w:rPr>
          <w:rFonts w:ascii="Times New Roman" w:eastAsiaTheme="minorEastAsia" w:hAnsi="Times New Roman" w:cs="Times New Roman" w:hint="eastAsia"/>
          <w:kern w:val="2"/>
          <w:szCs w:val="24"/>
        </w:rPr>
        <w:t>21</w:t>
      </w:r>
      <w:r>
        <w:rPr>
          <w:rFonts w:ascii="Times New Roman" w:eastAsiaTheme="minorEastAsia" w:hAnsi="Times New Roman" w:cs="Times New Roman" w:hint="eastAsia"/>
          <w:kern w:val="2"/>
          <w:szCs w:val="24"/>
        </w:rPr>
        <w:t>家公司。</w:t>
      </w:r>
    </w:p>
    <w:p w14:paraId="7E357739"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第二步：剔除市盈率较高（大于</w:t>
      </w:r>
      <w:r>
        <w:rPr>
          <w:rFonts w:ascii="Times New Roman" w:eastAsiaTheme="minorEastAsia" w:hAnsi="Times New Roman" w:cs="Times New Roman" w:hint="eastAsia"/>
          <w:kern w:val="2"/>
          <w:szCs w:val="24"/>
        </w:rPr>
        <w:t>100</w:t>
      </w:r>
      <w:r>
        <w:rPr>
          <w:rFonts w:ascii="Times New Roman" w:eastAsiaTheme="minorEastAsia" w:hAnsi="Times New Roman" w:cs="Times New Roman" w:hint="eastAsia"/>
          <w:kern w:val="2"/>
          <w:szCs w:val="24"/>
        </w:rPr>
        <w:t>），市盈率较小（小于</w:t>
      </w:r>
      <w:r>
        <w:rPr>
          <w:rFonts w:ascii="Times New Roman" w:eastAsiaTheme="minorEastAsia" w:hAnsi="Times New Roman" w:cs="Times New Roman" w:hint="eastAsia"/>
          <w:kern w:val="2"/>
          <w:szCs w:val="24"/>
        </w:rPr>
        <w:t>0</w:t>
      </w:r>
      <w:r>
        <w:rPr>
          <w:rFonts w:ascii="Times New Roman" w:eastAsiaTheme="minorEastAsia" w:hAnsi="Times New Roman" w:cs="Times New Roman" w:hint="eastAsia"/>
          <w:kern w:val="2"/>
          <w:szCs w:val="24"/>
        </w:rPr>
        <w:t>）的同行业上市公司，选出的公司具体如下：</w:t>
      </w:r>
    </w:p>
    <w:p w14:paraId="642BC1B6"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韦尔股份</w:t>
      </w:r>
      <w:r>
        <w:rPr>
          <w:rFonts w:ascii="Times New Roman" w:eastAsiaTheme="minorEastAsia" w:hAnsi="Times New Roman" w:cs="Times New Roman" w:hint="eastAsia"/>
          <w:kern w:val="2"/>
          <w:szCs w:val="24"/>
        </w:rPr>
        <w:t>(603501.SH)</w:t>
      </w:r>
      <w:r>
        <w:rPr>
          <w:rFonts w:ascii="Times New Roman" w:eastAsiaTheme="minorEastAsia" w:hAnsi="Times New Roman" w:cs="Times New Roman" w:hint="eastAsia"/>
          <w:kern w:val="2"/>
          <w:szCs w:val="24"/>
        </w:rPr>
        <w:t>、富满电子</w:t>
      </w:r>
      <w:r>
        <w:rPr>
          <w:rFonts w:ascii="Times New Roman" w:eastAsiaTheme="minorEastAsia" w:hAnsi="Times New Roman" w:cs="Times New Roman" w:hint="eastAsia"/>
          <w:kern w:val="2"/>
          <w:szCs w:val="24"/>
        </w:rPr>
        <w:t>(300671.SZ)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雄帝科技</w:t>
      </w:r>
      <w:proofErr w:type="gramEnd"/>
      <w:r>
        <w:rPr>
          <w:rFonts w:ascii="Times New Roman" w:eastAsiaTheme="minorEastAsia" w:hAnsi="Times New Roman" w:cs="Times New Roman" w:hint="eastAsia"/>
          <w:kern w:val="2"/>
          <w:szCs w:val="24"/>
        </w:rPr>
        <w:t>(300546.SZ)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恒宝股份</w:t>
      </w:r>
      <w:proofErr w:type="gramEnd"/>
      <w:r>
        <w:rPr>
          <w:rFonts w:ascii="Times New Roman" w:eastAsiaTheme="minorEastAsia" w:hAnsi="Times New Roman" w:cs="Times New Roman" w:hint="eastAsia"/>
          <w:kern w:val="2"/>
          <w:szCs w:val="24"/>
        </w:rPr>
        <w:t>(002104.SZ)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澄天伟业</w:t>
      </w:r>
      <w:proofErr w:type="gramEnd"/>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、全志科技</w:t>
      </w:r>
      <w:r>
        <w:rPr>
          <w:rFonts w:ascii="Times New Roman" w:eastAsiaTheme="minorEastAsia" w:hAnsi="Times New Roman" w:cs="Times New Roman" w:hint="eastAsia"/>
          <w:kern w:val="2"/>
          <w:szCs w:val="24"/>
        </w:rPr>
        <w:t>(300458.SZ)</w:t>
      </w:r>
      <w:r>
        <w:rPr>
          <w:rFonts w:ascii="Times New Roman" w:eastAsiaTheme="minorEastAsia" w:hAnsi="Times New Roman" w:cs="Times New Roman" w:hint="eastAsia"/>
          <w:kern w:val="2"/>
          <w:szCs w:val="24"/>
        </w:rPr>
        <w:t>、新国都</w:t>
      </w:r>
      <w:r>
        <w:rPr>
          <w:rFonts w:ascii="Times New Roman" w:eastAsiaTheme="minorEastAsia" w:hAnsi="Times New Roman" w:cs="Times New Roman" w:hint="eastAsia"/>
          <w:kern w:val="2"/>
          <w:szCs w:val="24"/>
        </w:rPr>
        <w:t>(300130.SZ)</w:t>
      </w:r>
      <w:r>
        <w:rPr>
          <w:rFonts w:ascii="Times New Roman" w:eastAsiaTheme="minorEastAsia" w:hAnsi="Times New Roman" w:cs="Times New Roman" w:hint="eastAsia"/>
          <w:kern w:val="2"/>
          <w:szCs w:val="24"/>
        </w:rPr>
        <w:t>、航天信息</w:t>
      </w:r>
      <w:r>
        <w:rPr>
          <w:rFonts w:ascii="Times New Roman" w:eastAsiaTheme="minorEastAsia" w:hAnsi="Times New Roman" w:cs="Times New Roman" w:hint="eastAsia"/>
          <w:kern w:val="2"/>
          <w:szCs w:val="24"/>
        </w:rPr>
        <w:t>(600271.SH)</w:t>
      </w:r>
      <w:r>
        <w:rPr>
          <w:rFonts w:ascii="Times New Roman" w:eastAsiaTheme="minorEastAsia" w:hAnsi="Times New Roman" w:cs="Times New Roman" w:hint="eastAsia"/>
          <w:kern w:val="2"/>
          <w:szCs w:val="24"/>
        </w:rPr>
        <w:t>、上海贝岭</w:t>
      </w:r>
      <w:r>
        <w:rPr>
          <w:rFonts w:ascii="Times New Roman" w:eastAsiaTheme="minorEastAsia" w:hAnsi="Times New Roman" w:cs="Times New Roman" w:hint="eastAsia"/>
          <w:kern w:val="2"/>
          <w:szCs w:val="24"/>
        </w:rPr>
        <w:t>(600171.SH)</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(300327.SZ)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lastRenderedPageBreak/>
        <w:t>汇顶科技</w:t>
      </w:r>
      <w:proofErr w:type="gramEnd"/>
      <w:r>
        <w:rPr>
          <w:rFonts w:ascii="Times New Roman" w:eastAsiaTheme="minorEastAsia" w:hAnsi="Times New Roman" w:cs="Times New Roman" w:hint="eastAsia"/>
          <w:kern w:val="2"/>
          <w:szCs w:val="24"/>
        </w:rPr>
        <w:t>(603160.SH)</w:t>
      </w:r>
      <w:r>
        <w:rPr>
          <w:rFonts w:ascii="Times New Roman" w:eastAsiaTheme="minorEastAsia" w:hAnsi="Times New Roman" w:cs="Times New Roman" w:hint="eastAsia"/>
          <w:kern w:val="2"/>
          <w:szCs w:val="24"/>
        </w:rPr>
        <w:t>、国民技术</w:t>
      </w:r>
      <w:r>
        <w:rPr>
          <w:rFonts w:ascii="Times New Roman" w:eastAsiaTheme="minorEastAsia" w:hAnsi="Times New Roman" w:cs="Times New Roman" w:hint="eastAsia"/>
          <w:kern w:val="2"/>
          <w:szCs w:val="24"/>
        </w:rPr>
        <w:t>(300077.SZ)</w:t>
      </w:r>
      <w:r>
        <w:rPr>
          <w:rFonts w:ascii="Times New Roman" w:eastAsiaTheme="minorEastAsia" w:hAnsi="Times New Roman" w:cs="Times New Roman" w:hint="eastAsia"/>
          <w:kern w:val="2"/>
          <w:szCs w:val="24"/>
        </w:rPr>
        <w:t>等合计</w:t>
      </w:r>
      <w:r>
        <w:rPr>
          <w:rFonts w:ascii="Times New Roman" w:eastAsiaTheme="minorEastAsia" w:hAnsi="Times New Roman" w:cs="Times New Roman" w:hint="eastAsia"/>
          <w:kern w:val="2"/>
          <w:szCs w:val="24"/>
        </w:rPr>
        <w:t>12</w:t>
      </w:r>
      <w:r>
        <w:rPr>
          <w:rFonts w:ascii="Times New Roman" w:eastAsiaTheme="minorEastAsia" w:hAnsi="Times New Roman" w:cs="Times New Roman" w:hint="eastAsia"/>
          <w:kern w:val="2"/>
          <w:szCs w:val="24"/>
        </w:rPr>
        <w:t>家公司。</w:t>
      </w:r>
    </w:p>
    <w:p w14:paraId="7DB354A1"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第三步：以净资产收益率为第一筛选标准，选择与标的企业接近的公司，剔除该项指标过高（±大于</w:t>
      </w:r>
      <w:r>
        <w:rPr>
          <w:rFonts w:ascii="Times New Roman" w:eastAsiaTheme="minorEastAsia" w:hAnsi="Times New Roman" w:cs="Times New Roman" w:hint="eastAsia"/>
          <w:kern w:val="2"/>
          <w:szCs w:val="24"/>
        </w:rPr>
        <w:t>20%</w:t>
      </w:r>
      <w:r>
        <w:rPr>
          <w:rFonts w:ascii="Times New Roman" w:eastAsiaTheme="minorEastAsia" w:hAnsi="Times New Roman" w:cs="Times New Roman" w:hint="eastAsia"/>
          <w:kern w:val="2"/>
          <w:szCs w:val="24"/>
        </w:rPr>
        <w:t>）的公司。以其他修正指标的异常情况为第二筛选标准，剔除出现极端异常的指标的公司，不能全部剔除</w:t>
      </w:r>
      <w:proofErr w:type="gramStart"/>
      <w:r>
        <w:rPr>
          <w:rFonts w:ascii="Times New Roman" w:eastAsiaTheme="minorEastAsia" w:hAnsi="Times New Roman" w:cs="Times New Roman" w:hint="eastAsia"/>
          <w:kern w:val="2"/>
          <w:szCs w:val="24"/>
        </w:rPr>
        <w:t>某指标</w:t>
      </w:r>
      <w:proofErr w:type="gramEnd"/>
      <w:r>
        <w:rPr>
          <w:rFonts w:ascii="Times New Roman" w:eastAsiaTheme="minorEastAsia" w:hAnsi="Times New Roman" w:cs="Times New Roman" w:hint="eastAsia"/>
          <w:kern w:val="2"/>
          <w:szCs w:val="24"/>
        </w:rPr>
        <w:t>出现负值的公司，否则可比实例数量太少，选出的公司具体如下：</w:t>
      </w:r>
    </w:p>
    <w:p w14:paraId="63C2ABCF"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韦尔股份</w:t>
      </w:r>
      <w:r>
        <w:rPr>
          <w:rFonts w:ascii="Times New Roman" w:eastAsiaTheme="minorEastAsia" w:hAnsi="Times New Roman" w:cs="Times New Roman" w:hint="eastAsia"/>
          <w:kern w:val="2"/>
          <w:szCs w:val="24"/>
        </w:rPr>
        <w:t>(603501.SH)</w:t>
      </w:r>
      <w:r>
        <w:rPr>
          <w:rFonts w:ascii="Times New Roman" w:eastAsiaTheme="minorEastAsia" w:hAnsi="Times New Roman" w:cs="Times New Roman" w:hint="eastAsia"/>
          <w:kern w:val="2"/>
          <w:szCs w:val="24"/>
        </w:rPr>
        <w:t>、富满电子</w:t>
      </w:r>
      <w:r>
        <w:rPr>
          <w:rFonts w:ascii="Times New Roman" w:eastAsiaTheme="minorEastAsia" w:hAnsi="Times New Roman" w:cs="Times New Roman" w:hint="eastAsia"/>
          <w:kern w:val="2"/>
          <w:szCs w:val="24"/>
        </w:rPr>
        <w:t>(300671.SZ)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澄天伟业</w:t>
      </w:r>
      <w:proofErr w:type="gramEnd"/>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、全志科技</w:t>
      </w:r>
      <w:r>
        <w:rPr>
          <w:rFonts w:ascii="Times New Roman" w:eastAsiaTheme="minorEastAsia" w:hAnsi="Times New Roman" w:cs="Times New Roman" w:hint="eastAsia"/>
          <w:kern w:val="2"/>
          <w:szCs w:val="24"/>
        </w:rPr>
        <w:t>(300458.SZ)</w:t>
      </w:r>
      <w:r>
        <w:rPr>
          <w:rFonts w:ascii="Times New Roman" w:eastAsiaTheme="minorEastAsia" w:hAnsi="Times New Roman" w:cs="Times New Roman" w:hint="eastAsia"/>
          <w:kern w:val="2"/>
          <w:szCs w:val="24"/>
        </w:rPr>
        <w:t>、上海贝岭</w:t>
      </w:r>
      <w:r>
        <w:rPr>
          <w:rFonts w:ascii="Times New Roman" w:eastAsiaTheme="minorEastAsia" w:hAnsi="Times New Roman" w:cs="Times New Roman" w:hint="eastAsia"/>
          <w:kern w:val="2"/>
          <w:szCs w:val="24"/>
        </w:rPr>
        <w:t>(600171.SH)</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(300327.SZ)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(603160.SH)</w:t>
      </w:r>
      <w:r>
        <w:rPr>
          <w:rFonts w:ascii="Times New Roman" w:eastAsiaTheme="minorEastAsia" w:hAnsi="Times New Roman" w:cs="Times New Roman" w:hint="eastAsia"/>
          <w:kern w:val="2"/>
          <w:szCs w:val="24"/>
        </w:rPr>
        <w:t>等合计</w:t>
      </w:r>
      <w:r>
        <w:rPr>
          <w:rFonts w:ascii="Times New Roman" w:eastAsiaTheme="minorEastAsia" w:hAnsi="Times New Roman" w:cs="Times New Roman" w:hint="eastAsia"/>
          <w:kern w:val="2"/>
          <w:szCs w:val="24"/>
        </w:rPr>
        <w:t>7</w:t>
      </w:r>
      <w:r>
        <w:rPr>
          <w:rFonts w:ascii="Times New Roman" w:eastAsiaTheme="minorEastAsia" w:hAnsi="Times New Roman" w:cs="Times New Roman" w:hint="eastAsia"/>
          <w:kern w:val="2"/>
          <w:szCs w:val="24"/>
        </w:rPr>
        <w:t>家公司。</w:t>
      </w:r>
    </w:p>
    <w:p w14:paraId="3E45FFD6"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第四步：最后通过对比市盈率离散情况、盈利状况得出四家可比上市公司，是相似性比较强的可比实例，选出的公司具体如下：</w:t>
      </w:r>
    </w:p>
    <w:p w14:paraId="1E749434" w14:textId="77777777" w:rsidR="00BD3166" w:rsidRDefault="00C64679">
      <w:pPr>
        <w:pStyle w:val="zw"/>
        <w:snapToGrid w:val="0"/>
        <w:rPr>
          <w:rFonts w:ascii="Times New Roman" w:eastAsiaTheme="minorEastAsia" w:hAnsi="Times New Roman" w:cs="Times New Roman"/>
          <w:kern w:val="2"/>
          <w:szCs w:val="24"/>
        </w:rPr>
      </w:pPr>
      <w:proofErr w:type="gramStart"/>
      <w:r>
        <w:rPr>
          <w:rFonts w:ascii="Times New Roman" w:eastAsiaTheme="minorEastAsia" w:hAnsi="Times New Roman" w:cs="Times New Roman" w:hint="eastAsia"/>
          <w:kern w:val="2"/>
          <w:szCs w:val="24"/>
        </w:rPr>
        <w:t>澄天伟业</w:t>
      </w:r>
      <w:proofErr w:type="gramEnd"/>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、全志科技</w:t>
      </w:r>
      <w:r>
        <w:rPr>
          <w:rFonts w:ascii="Times New Roman" w:eastAsiaTheme="minorEastAsia" w:hAnsi="Times New Roman" w:cs="Times New Roman" w:hint="eastAsia"/>
          <w:kern w:val="2"/>
          <w:szCs w:val="24"/>
        </w:rPr>
        <w:t>(300458.SZ)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(300327.SZ)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(603160.SH)</w:t>
      </w:r>
      <w:r>
        <w:rPr>
          <w:rFonts w:ascii="Times New Roman" w:eastAsiaTheme="minorEastAsia" w:hAnsi="Times New Roman" w:cs="Times New Roman" w:hint="eastAsia"/>
          <w:kern w:val="2"/>
          <w:szCs w:val="24"/>
        </w:rPr>
        <w:t>等合计</w:t>
      </w:r>
      <w:r>
        <w:rPr>
          <w:rFonts w:ascii="Times New Roman" w:eastAsiaTheme="minorEastAsia" w:hAnsi="Times New Roman" w:cs="Times New Roman" w:hint="eastAsia"/>
          <w:kern w:val="2"/>
          <w:szCs w:val="24"/>
        </w:rPr>
        <w:t>4</w:t>
      </w:r>
      <w:r>
        <w:rPr>
          <w:rFonts w:ascii="Times New Roman" w:eastAsiaTheme="minorEastAsia" w:hAnsi="Times New Roman" w:cs="Times New Roman" w:hint="eastAsia"/>
          <w:kern w:val="2"/>
          <w:szCs w:val="24"/>
        </w:rPr>
        <w:t>家公司</w:t>
      </w:r>
    </w:p>
    <w:p w14:paraId="79665219"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2</w:t>
      </w:r>
      <w:r>
        <w:rPr>
          <w:rFonts w:ascii="Times New Roman" w:eastAsiaTheme="minorEastAsia" w:hAnsi="Times New Roman" w:cs="Times New Roman" w:hint="eastAsia"/>
          <w:kern w:val="2"/>
          <w:szCs w:val="24"/>
        </w:rPr>
        <w:t>）可比上市公司具体情况及主营业务差异说明</w:t>
      </w:r>
    </w:p>
    <w:p w14:paraId="656886A9"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可比公司</w:t>
      </w:r>
      <w:proofErr w:type="gramStart"/>
      <w:r>
        <w:rPr>
          <w:rFonts w:ascii="Times New Roman" w:eastAsiaTheme="minorEastAsia" w:hAnsi="Times New Roman" w:cs="Times New Roman" w:hint="eastAsia"/>
          <w:kern w:val="2"/>
          <w:szCs w:val="24"/>
        </w:rPr>
        <w:t>一</w:t>
      </w:r>
      <w:proofErr w:type="gramEnd"/>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澄天伟业</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kern w:val="2"/>
          <w:szCs w:val="24"/>
        </w:rPr>
        <w:t>300689.SZ</w:t>
      </w:r>
      <w:r>
        <w:rPr>
          <w:rFonts w:ascii="Times New Roman" w:eastAsiaTheme="minorEastAsia" w:hAnsi="Times New Roman" w:cs="Times New Roman"/>
          <w:kern w:val="2"/>
          <w:szCs w:val="24"/>
        </w:rPr>
        <w:t>）</w:t>
      </w:r>
    </w:p>
    <w:p w14:paraId="7602EBB7"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主营产品：</w:t>
      </w:r>
      <w:r>
        <w:rPr>
          <w:rFonts w:ascii="Times New Roman" w:eastAsiaTheme="minorEastAsia" w:hAnsi="Times New Roman" w:cs="Times New Roman"/>
          <w:kern w:val="2"/>
          <w:szCs w:val="24"/>
        </w:rPr>
        <w:t xml:space="preserve">ID </w:t>
      </w:r>
      <w:r>
        <w:rPr>
          <w:rFonts w:ascii="Times New Roman" w:eastAsiaTheme="minorEastAsia" w:hAnsi="Times New Roman" w:cs="Times New Roman" w:hint="eastAsia"/>
          <w:kern w:val="2"/>
          <w:szCs w:val="24"/>
        </w:rPr>
        <w:t>卡、电信卡、金融</w:t>
      </w:r>
      <w:r>
        <w:rPr>
          <w:rFonts w:ascii="Times New Roman" w:eastAsiaTheme="minorEastAsia" w:hAnsi="Times New Roman" w:cs="Times New Roman"/>
          <w:kern w:val="2"/>
          <w:szCs w:val="24"/>
        </w:rPr>
        <w:t xml:space="preserve"> IC</w:t>
      </w:r>
      <w:r>
        <w:rPr>
          <w:rFonts w:ascii="Times New Roman" w:eastAsiaTheme="minorEastAsia" w:hAnsi="Times New Roman" w:cs="Times New Roman"/>
          <w:kern w:val="2"/>
          <w:szCs w:val="24"/>
        </w:rPr>
        <w:t>卡、其他支付卡。</w:t>
      </w:r>
      <w:bookmarkStart w:id="15" w:name="_Hlk55042542"/>
    </w:p>
    <w:p w14:paraId="6919C204"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kern w:val="2"/>
          <w:szCs w:val="24"/>
        </w:rPr>
        <w:t>2019</w:t>
      </w:r>
      <w:r>
        <w:rPr>
          <w:rFonts w:ascii="Times New Roman" w:eastAsiaTheme="minorEastAsia" w:hAnsi="Times New Roman" w:cs="Times New Roman"/>
          <w:kern w:val="2"/>
          <w:szCs w:val="24"/>
        </w:rPr>
        <w:t>年主营收入构成：智能卡产品：</w:t>
      </w:r>
      <w:r>
        <w:rPr>
          <w:rFonts w:ascii="Times New Roman" w:eastAsiaTheme="minorEastAsia" w:hAnsi="Times New Roman" w:cs="Times New Roman"/>
          <w:kern w:val="2"/>
          <w:szCs w:val="24"/>
        </w:rPr>
        <w:t>84.92%</w:t>
      </w:r>
      <w:r>
        <w:rPr>
          <w:rFonts w:ascii="Times New Roman" w:eastAsiaTheme="minorEastAsia" w:hAnsi="Times New Roman" w:cs="Times New Roman"/>
          <w:kern w:val="2"/>
          <w:szCs w:val="24"/>
        </w:rPr>
        <w:t>；综合制卡服务：</w:t>
      </w:r>
      <w:r>
        <w:rPr>
          <w:rFonts w:ascii="Times New Roman" w:eastAsiaTheme="minorEastAsia" w:hAnsi="Times New Roman" w:cs="Times New Roman"/>
          <w:kern w:val="2"/>
          <w:szCs w:val="24"/>
        </w:rPr>
        <w:t>10.74%</w:t>
      </w:r>
      <w:r>
        <w:rPr>
          <w:rFonts w:ascii="Times New Roman" w:eastAsiaTheme="minorEastAsia" w:hAnsi="Times New Roman" w:cs="Times New Roman"/>
          <w:kern w:val="2"/>
          <w:szCs w:val="24"/>
        </w:rPr>
        <w:t>；其他业务：</w:t>
      </w:r>
      <w:r>
        <w:rPr>
          <w:rFonts w:ascii="Times New Roman" w:eastAsiaTheme="minorEastAsia" w:hAnsi="Times New Roman" w:cs="Times New Roman"/>
          <w:kern w:val="2"/>
          <w:szCs w:val="24"/>
        </w:rPr>
        <w:t>4.34%</w:t>
      </w:r>
      <w:r>
        <w:rPr>
          <w:rFonts w:ascii="Times New Roman" w:eastAsiaTheme="minorEastAsia" w:hAnsi="Times New Roman" w:cs="Times New Roman"/>
          <w:kern w:val="2"/>
          <w:szCs w:val="24"/>
        </w:rPr>
        <w:t>。</w:t>
      </w:r>
    </w:p>
    <w:p w14:paraId="1C34FB15"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kern w:val="2"/>
          <w:szCs w:val="24"/>
        </w:rPr>
        <w:t>2020</w:t>
      </w:r>
      <w:r>
        <w:rPr>
          <w:rFonts w:ascii="Times New Roman" w:eastAsiaTheme="minorEastAsia" w:hAnsi="Times New Roman" w:cs="Times New Roman"/>
          <w:kern w:val="2"/>
          <w:szCs w:val="24"/>
        </w:rPr>
        <w:t>年主营收入构成：智能卡产品：</w:t>
      </w:r>
      <w:r>
        <w:rPr>
          <w:rFonts w:ascii="Times New Roman" w:eastAsiaTheme="minorEastAsia" w:hAnsi="Times New Roman" w:cs="Times New Roman"/>
          <w:kern w:val="2"/>
          <w:szCs w:val="24"/>
        </w:rPr>
        <w:t>88.86%</w:t>
      </w:r>
      <w:r>
        <w:rPr>
          <w:rFonts w:ascii="Times New Roman" w:eastAsiaTheme="minorEastAsia" w:hAnsi="Times New Roman" w:cs="Times New Roman"/>
          <w:kern w:val="2"/>
          <w:szCs w:val="24"/>
        </w:rPr>
        <w:t>；综合制卡服务：</w:t>
      </w:r>
      <w:r>
        <w:rPr>
          <w:rFonts w:ascii="Times New Roman" w:eastAsiaTheme="minorEastAsia" w:hAnsi="Times New Roman" w:cs="Times New Roman"/>
          <w:kern w:val="2"/>
          <w:szCs w:val="24"/>
        </w:rPr>
        <w:t>8.22%</w:t>
      </w:r>
      <w:r>
        <w:rPr>
          <w:rFonts w:ascii="Times New Roman" w:eastAsiaTheme="minorEastAsia" w:hAnsi="Times New Roman" w:cs="Times New Roman"/>
          <w:kern w:val="2"/>
          <w:szCs w:val="24"/>
        </w:rPr>
        <w:t>；其他业务：</w:t>
      </w:r>
      <w:r>
        <w:rPr>
          <w:rFonts w:ascii="Times New Roman" w:eastAsiaTheme="minorEastAsia" w:hAnsi="Times New Roman" w:cs="Times New Roman"/>
          <w:kern w:val="2"/>
          <w:szCs w:val="24"/>
        </w:rPr>
        <w:t>2.92%</w:t>
      </w:r>
      <w:r>
        <w:rPr>
          <w:rFonts w:ascii="Times New Roman" w:eastAsiaTheme="minorEastAsia" w:hAnsi="Times New Roman" w:cs="Times New Roman"/>
          <w:kern w:val="2"/>
          <w:szCs w:val="24"/>
        </w:rPr>
        <w:t>。</w:t>
      </w:r>
      <w:bookmarkEnd w:id="15"/>
    </w:p>
    <w:p w14:paraId="3791101F"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可比公司二：全志科技（</w:t>
      </w:r>
      <w:r>
        <w:rPr>
          <w:rFonts w:ascii="Times New Roman" w:eastAsiaTheme="minorEastAsia" w:hAnsi="Times New Roman" w:cs="Times New Roman"/>
          <w:kern w:val="2"/>
          <w:szCs w:val="24"/>
        </w:rPr>
        <w:t>300458.SZ</w:t>
      </w:r>
      <w:r>
        <w:rPr>
          <w:rFonts w:ascii="Times New Roman" w:eastAsiaTheme="minorEastAsia" w:hAnsi="Times New Roman" w:cs="Times New Roman"/>
          <w:kern w:val="2"/>
          <w:szCs w:val="24"/>
        </w:rPr>
        <w:t>）</w:t>
      </w:r>
      <w:r>
        <w:rPr>
          <w:rFonts w:ascii="Times New Roman" w:eastAsiaTheme="minorEastAsia" w:hAnsi="Times New Roman" w:cs="Times New Roman"/>
          <w:kern w:val="2"/>
          <w:szCs w:val="24"/>
        </w:rPr>
        <w:t>300458.SZ</w:t>
      </w:r>
    </w:p>
    <w:p w14:paraId="532457A4"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主营产品：智能电源管理芯片、智能终端应用处理器芯片</w:t>
      </w:r>
    </w:p>
    <w:p w14:paraId="34431B60"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kern w:val="2"/>
          <w:szCs w:val="24"/>
        </w:rPr>
        <w:t>2019</w:t>
      </w:r>
      <w:r>
        <w:rPr>
          <w:rFonts w:ascii="Times New Roman" w:eastAsiaTheme="minorEastAsia" w:hAnsi="Times New Roman" w:cs="Times New Roman"/>
          <w:kern w:val="2"/>
          <w:szCs w:val="24"/>
        </w:rPr>
        <w:t>年主营收入构成：智能终端应用处理器芯片：</w:t>
      </w:r>
      <w:r>
        <w:rPr>
          <w:rFonts w:ascii="Times New Roman" w:eastAsiaTheme="minorEastAsia" w:hAnsi="Times New Roman" w:cs="Times New Roman"/>
          <w:kern w:val="2"/>
          <w:szCs w:val="24"/>
        </w:rPr>
        <w:t>67.34%</w:t>
      </w:r>
      <w:r>
        <w:rPr>
          <w:rFonts w:ascii="Times New Roman" w:eastAsiaTheme="minorEastAsia" w:hAnsi="Times New Roman" w:cs="Times New Roman"/>
          <w:kern w:val="2"/>
          <w:szCs w:val="24"/>
        </w:rPr>
        <w:t>；智能电源管理芯片：</w:t>
      </w:r>
      <w:r>
        <w:rPr>
          <w:rFonts w:ascii="Times New Roman" w:eastAsiaTheme="minorEastAsia" w:hAnsi="Times New Roman" w:cs="Times New Roman"/>
          <w:kern w:val="2"/>
          <w:szCs w:val="24"/>
        </w:rPr>
        <w:t>11.13%</w:t>
      </w:r>
      <w:r>
        <w:rPr>
          <w:rFonts w:ascii="Times New Roman" w:eastAsiaTheme="minorEastAsia" w:hAnsi="Times New Roman" w:cs="Times New Roman"/>
          <w:kern w:val="2"/>
          <w:szCs w:val="24"/>
        </w:rPr>
        <w:t>；无线通信产品：</w:t>
      </w:r>
      <w:r>
        <w:rPr>
          <w:rFonts w:ascii="Times New Roman" w:eastAsiaTheme="minorEastAsia" w:hAnsi="Times New Roman" w:cs="Times New Roman"/>
          <w:kern w:val="2"/>
          <w:szCs w:val="24"/>
        </w:rPr>
        <w:t>9.29%</w:t>
      </w:r>
      <w:r>
        <w:rPr>
          <w:rFonts w:ascii="Times New Roman" w:eastAsiaTheme="minorEastAsia" w:hAnsi="Times New Roman" w:cs="Times New Roman"/>
          <w:kern w:val="2"/>
          <w:szCs w:val="24"/>
        </w:rPr>
        <w:t>；存储芯片：</w:t>
      </w:r>
      <w:r>
        <w:rPr>
          <w:rFonts w:ascii="Times New Roman" w:eastAsiaTheme="minorEastAsia" w:hAnsi="Times New Roman" w:cs="Times New Roman"/>
          <w:kern w:val="2"/>
          <w:szCs w:val="24"/>
        </w:rPr>
        <w:t>8.39%</w:t>
      </w:r>
      <w:r>
        <w:rPr>
          <w:rFonts w:ascii="Times New Roman" w:eastAsiaTheme="minorEastAsia" w:hAnsi="Times New Roman" w:cs="Times New Roman"/>
          <w:kern w:val="2"/>
          <w:szCs w:val="24"/>
        </w:rPr>
        <w:t>；其他：</w:t>
      </w:r>
      <w:r>
        <w:rPr>
          <w:rFonts w:ascii="Times New Roman" w:eastAsiaTheme="minorEastAsia" w:hAnsi="Times New Roman" w:cs="Times New Roman"/>
          <w:kern w:val="2"/>
          <w:szCs w:val="24"/>
        </w:rPr>
        <w:t>3.51%</w:t>
      </w:r>
      <w:r>
        <w:rPr>
          <w:rFonts w:ascii="Times New Roman" w:eastAsiaTheme="minorEastAsia" w:hAnsi="Times New Roman" w:cs="Times New Roman"/>
          <w:kern w:val="2"/>
          <w:szCs w:val="24"/>
        </w:rPr>
        <w:t>；</w:t>
      </w:r>
      <w:r>
        <w:rPr>
          <w:rFonts w:ascii="Times New Roman" w:eastAsiaTheme="minorEastAsia" w:hAnsi="Times New Roman" w:cs="Times New Roman"/>
          <w:kern w:val="2"/>
          <w:szCs w:val="24"/>
        </w:rPr>
        <w:t>4G LTE</w:t>
      </w:r>
      <w:r>
        <w:rPr>
          <w:rFonts w:ascii="Times New Roman" w:eastAsiaTheme="minorEastAsia" w:hAnsi="Times New Roman" w:cs="Times New Roman"/>
          <w:kern w:val="2"/>
          <w:szCs w:val="24"/>
        </w:rPr>
        <w:t>芯片：</w:t>
      </w:r>
      <w:r>
        <w:rPr>
          <w:rFonts w:ascii="Times New Roman" w:eastAsiaTheme="minorEastAsia" w:hAnsi="Times New Roman" w:cs="Times New Roman"/>
          <w:kern w:val="2"/>
          <w:szCs w:val="24"/>
        </w:rPr>
        <w:t>0.33%</w:t>
      </w:r>
    </w:p>
    <w:p w14:paraId="0D7E01D4"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kern w:val="2"/>
          <w:szCs w:val="24"/>
        </w:rPr>
        <w:t>2020</w:t>
      </w:r>
      <w:r>
        <w:rPr>
          <w:rFonts w:ascii="Times New Roman" w:eastAsiaTheme="minorEastAsia" w:hAnsi="Times New Roman" w:cs="Times New Roman"/>
          <w:kern w:val="2"/>
          <w:szCs w:val="24"/>
        </w:rPr>
        <w:t>年主营收入构成：智能终端应用处理器芯片：</w:t>
      </w:r>
      <w:r>
        <w:rPr>
          <w:rFonts w:ascii="Times New Roman" w:eastAsiaTheme="minorEastAsia" w:hAnsi="Times New Roman" w:cs="Times New Roman"/>
          <w:kern w:val="2"/>
          <w:szCs w:val="24"/>
        </w:rPr>
        <w:t>75.17%</w:t>
      </w:r>
      <w:r>
        <w:rPr>
          <w:rFonts w:ascii="Times New Roman" w:eastAsiaTheme="minorEastAsia" w:hAnsi="Times New Roman" w:cs="Times New Roman"/>
          <w:kern w:val="2"/>
          <w:szCs w:val="24"/>
        </w:rPr>
        <w:t>；无线通信产品：</w:t>
      </w:r>
      <w:r>
        <w:rPr>
          <w:rFonts w:ascii="Times New Roman" w:eastAsiaTheme="minorEastAsia" w:hAnsi="Times New Roman" w:cs="Times New Roman"/>
          <w:kern w:val="2"/>
          <w:szCs w:val="24"/>
        </w:rPr>
        <w:t>9.62%</w:t>
      </w:r>
      <w:r>
        <w:rPr>
          <w:rFonts w:ascii="Times New Roman" w:eastAsiaTheme="minorEastAsia" w:hAnsi="Times New Roman" w:cs="Times New Roman"/>
          <w:kern w:val="2"/>
          <w:szCs w:val="24"/>
        </w:rPr>
        <w:t>；智能电源管理芯片：</w:t>
      </w:r>
      <w:r>
        <w:rPr>
          <w:rFonts w:ascii="Times New Roman" w:eastAsiaTheme="minorEastAsia" w:hAnsi="Times New Roman" w:cs="Times New Roman"/>
          <w:kern w:val="2"/>
          <w:szCs w:val="24"/>
        </w:rPr>
        <w:t>9.31%</w:t>
      </w:r>
      <w:r>
        <w:rPr>
          <w:rFonts w:ascii="Times New Roman" w:eastAsiaTheme="minorEastAsia" w:hAnsi="Times New Roman" w:cs="Times New Roman"/>
          <w:kern w:val="2"/>
          <w:szCs w:val="24"/>
        </w:rPr>
        <w:t>；存储芯片：</w:t>
      </w:r>
      <w:r>
        <w:rPr>
          <w:rFonts w:ascii="Times New Roman" w:eastAsiaTheme="minorEastAsia" w:hAnsi="Times New Roman" w:cs="Times New Roman"/>
          <w:kern w:val="2"/>
          <w:szCs w:val="24"/>
        </w:rPr>
        <w:t>3.04%</w:t>
      </w:r>
      <w:r>
        <w:rPr>
          <w:rFonts w:ascii="Times New Roman" w:eastAsiaTheme="minorEastAsia" w:hAnsi="Times New Roman" w:cs="Times New Roman"/>
          <w:kern w:val="2"/>
          <w:szCs w:val="24"/>
        </w:rPr>
        <w:t>；其他：</w:t>
      </w:r>
      <w:r>
        <w:rPr>
          <w:rFonts w:ascii="Times New Roman" w:eastAsiaTheme="minorEastAsia" w:hAnsi="Times New Roman" w:cs="Times New Roman"/>
          <w:kern w:val="2"/>
          <w:szCs w:val="24"/>
        </w:rPr>
        <w:t>2.86%</w:t>
      </w:r>
    </w:p>
    <w:p w14:paraId="3618CE39"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可比公司三：</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kern w:val="2"/>
          <w:szCs w:val="24"/>
        </w:rPr>
        <w:t>300327.SZ</w:t>
      </w:r>
      <w:r>
        <w:rPr>
          <w:rFonts w:ascii="Times New Roman" w:eastAsiaTheme="minorEastAsia" w:hAnsi="Times New Roman" w:cs="Times New Roman"/>
          <w:kern w:val="2"/>
          <w:szCs w:val="24"/>
        </w:rPr>
        <w:t>）</w:t>
      </w:r>
    </w:p>
    <w:p w14:paraId="70AC40FD"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主营产品：</w:t>
      </w:r>
      <w:r>
        <w:rPr>
          <w:rFonts w:ascii="Times New Roman" w:eastAsiaTheme="minorEastAsia" w:hAnsi="Times New Roman" w:cs="Times New Roman"/>
          <w:kern w:val="2"/>
          <w:szCs w:val="24"/>
        </w:rPr>
        <w:t>SH66K33A</w:t>
      </w:r>
      <w:r>
        <w:rPr>
          <w:rFonts w:ascii="Times New Roman" w:eastAsiaTheme="minorEastAsia" w:hAnsi="Times New Roman" w:cs="Times New Roman"/>
          <w:kern w:val="2"/>
          <w:szCs w:val="24"/>
        </w:rPr>
        <w:t>微处理器、</w:t>
      </w:r>
      <w:r>
        <w:rPr>
          <w:rFonts w:ascii="Times New Roman" w:eastAsiaTheme="minorEastAsia" w:hAnsi="Times New Roman" w:cs="Times New Roman"/>
          <w:kern w:val="2"/>
          <w:szCs w:val="24"/>
        </w:rPr>
        <w:t>SH69K20A</w:t>
      </w:r>
      <w:r>
        <w:rPr>
          <w:rFonts w:ascii="Times New Roman" w:eastAsiaTheme="minorEastAsia" w:hAnsi="Times New Roman" w:cs="Times New Roman"/>
          <w:kern w:val="2"/>
          <w:szCs w:val="24"/>
        </w:rPr>
        <w:t>单片微处理器、</w:t>
      </w:r>
      <w:r>
        <w:rPr>
          <w:rFonts w:ascii="Times New Roman" w:eastAsiaTheme="minorEastAsia" w:hAnsi="Times New Roman" w:cs="Times New Roman"/>
          <w:kern w:val="2"/>
          <w:szCs w:val="24"/>
        </w:rPr>
        <w:t>SH69P20B</w:t>
      </w:r>
      <w:r>
        <w:rPr>
          <w:rFonts w:ascii="Times New Roman" w:eastAsiaTheme="minorEastAsia" w:hAnsi="Times New Roman" w:cs="Times New Roman"/>
          <w:kern w:val="2"/>
          <w:szCs w:val="24"/>
        </w:rPr>
        <w:t>微处理器、</w:t>
      </w:r>
      <w:r>
        <w:rPr>
          <w:rFonts w:ascii="Times New Roman" w:eastAsiaTheme="minorEastAsia" w:hAnsi="Times New Roman" w:cs="Times New Roman"/>
          <w:kern w:val="2"/>
          <w:szCs w:val="24"/>
        </w:rPr>
        <w:t>SH69P20C</w:t>
      </w:r>
      <w:r>
        <w:rPr>
          <w:rFonts w:ascii="Times New Roman" w:eastAsiaTheme="minorEastAsia" w:hAnsi="Times New Roman" w:cs="Times New Roman"/>
          <w:kern w:val="2"/>
          <w:szCs w:val="24"/>
        </w:rPr>
        <w:t>单片机、</w:t>
      </w:r>
      <w:r>
        <w:rPr>
          <w:rFonts w:ascii="Times New Roman" w:eastAsiaTheme="minorEastAsia" w:hAnsi="Times New Roman" w:cs="Times New Roman"/>
          <w:kern w:val="2"/>
          <w:szCs w:val="24"/>
        </w:rPr>
        <w:t>SH69P21</w:t>
      </w:r>
      <w:r>
        <w:rPr>
          <w:rFonts w:ascii="Times New Roman" w:eastAsiaTheme="minorEastAsia" w:hAnsi="Times New Roman" w:cs="Times New Roman"/>
          <w:kern w:val="2"/>
          <w:szCs w:val="24"/>
        </w:rPr>
        <w:t>单片机、</w:t>
      </w:r>
      <w:r>
        <w:rPr>
          <w:rFonts w:ascii="Times New Roman" w:eastAsiaTheme="minorEastAsia" w:hAnsi="Times New Roman" w:cs="Times New Roman"/>
          <w:kern w:val="2"/>
          <w:szCs w:val="24"/>
        </w:rPr>
        <w:t>SH69P23/K23</w:t>
      </w:r>
      <w:r>
        <w:rPr>
          <w:rFonts w:ascii="Times New Roman" w:eastAsiaTheme="minorEastAsia" w:hAnsi="Times New Roman" w:cs="Times New Roman"/>
          <w:kern w:val="2"/>
          <w:szCs w:val="24"/>
        </w:rPr>
        <w:t>微处理器、</w:t>
      </w:r>
      <w:r>
        <w:rPr>
          <w:rFonts w:ascii="Times New Roman" w:eastAsiaTheme="minorEastAsia" w:hAnsi="Times New Roman" w:cs="Times New Roman"/>
          <w:kern w:val="2"/>
          <w:szCs w:val="24"/>
        </w:rPr>
        <w:t>SH69P25</w:t>
      </w:r>
      <w:r>
        <w:rPr>
          <w:rFonts w:ascii="Times New Roman" w:eastAsiaTheme="minorEastAsia" w:hAnsi="Times New Roman" w:cs="Times New Roman"/>
          <w:kern w:val="2"/>
          <w:szCs w:val="24"/>
        </w:rPr>
        <w:t>微处理器、</w:t>
      </w:r>
      <w:r>
        <w:rPr>
          <w:rFonts w:ascii="Times New Roman" w:eastAsiaTheme="minorEastAsia" w:hAnsi="Times New Roman" w:cs="Times New Roman"/>
          <w:kern w:val="2"/>
          <w:szCs w:val="24"/>
        </w:rPr>
        <w:t>SH69P26</w:t>
      </w:r>
      <w:r>
        <w:rPr>
          <w:rFonts w:ascii="Times New Roman" w:eastAsiaTheme="minorEastAsia" w:hAnsi="Times New Roman" w:cs="Times New Roman"/>
          <w:kern w:val="2"/>
          <w:szCs w:val="24"/>
        </w:rPr>
        <w:t>微处理器、</w:t>
      </w:r>
      <w:r>
        <w:rPr>
          <w:rFonts w:ascii="Times New Roman" w:eastAsiaTheme="minorEastAsia" w:hAnsi="Times New Roman" w:cs="Times New Roman"/>
          <w:kern w:val="2"/>
          <w:szCs w:val="24"/>
        </w:rPr>
        <w:t>SH69P31</w:t>
      </w:r>
      <w:r>
        <w:rPr>
          <w:rFonts w:ascii="Times New Roman" w:eastAsiaTheme="minorEastAsia" w:hAnsi="Times New Roman" w:cs="Times New Roman"/>
          <w:kern w:val="2"/>
          <w:szCs w:val="24"/>
        </w:rPr>
        <w:t>单片机。</w:t>
      </w:r>
    </w:p>
    <w:p w14:paraId="1B461369"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kern w:val="2"/>
          <w:szCs w:val="24"/>
        </w:rPr>
        <w:lastRenderedPageBreak/>
        <w:t>2019</w:t>
      </w:r>
      <w:r>
        <w:rPr>
          <w:rFonts w:ascii="Times New Roman" w:eastAsiaTheme="minorEastAsia" w:hAnsi="Times New Roman" w:cs="Times New Roman"/>
          <w:kern w:val="2"/>
          <w:szCs w:val="24"/>
        </w:rPr>
        <w:t>年主营收入构成：工业控制：</w:t>
      </w:r>
      <w:r>
        <w:rPr>
          <w:rFonts w:ascii="Times New Roman" w:eastAsiaTheme="minorEastAsia" w:hAnsi="Times New Roman" w:cs="Times New Roman"/>
          <w:kern w:val="2"/>
          <w:szCs w:val="24"/>
        </w:rPr>
        <w:t>93.4%</w:t>
      </w:r>
      <w:r>
        <w:rPr>
          <w:rFonts w:ascii="Times New Roman" w:eastAsiaTheme="minorEastAsia" w:hAnsi="Times New Roman" w:cs="Times New Roman"/>
          <w:kern w:val="2"/>
          <w:szCs w:val="24"/>
        </w:rPr>
        <w:t>；显示驱动类：</w:t>
      </w:r>
      <w:r>
        <w:rPr>
          <w:rFonts w:ascii="Times New Roman" w:eastAsiaTheme="minorEastAsia" w:hAnsi="Times New Roman" w:cs="Times New Roman"/>
          <w:kern w:val="2"/>
          <w:szCs w:val="24"/>
        </w:rPr>
        <w:t>6.41%</w:t>
      </w:r>
      <w:r>
        <w:rPr>
          <w:rFonts w:ascii="Times New Roman" w:eastAsiaTheme="minorEastAsia" w:hAnsi="Times New Roman" w:cs="Times New Roman"/>
          <w:kern w:val="2"/>
          <w:szCs w:val="24"/>
        </w:rPr>
        <w:t>；其他业务：</w:t>
      </w:r>
      <w:r>
        <w:rPr>
          <w:rFonts w:ascii="Times New Roman" w:eastAsiaTheme="minorEastAsia" w:hAnsi="Times New Roman" w:cs="Times New Roman"/>
          <w:kern w:val="2"/>
          <w:szCs w:val="24"/>
        </w:rPr>
        <w:t>0.18%</w:t>
      </w:r>
      <w:r>
        <w:rPr>
          <w:rFonts w:ascii="Times New Roman" w:eastAsiaTheme="minorEastAsia" w:hAnsi="Times New Roman" w:cs="Times New Roman"/>
          <w:kern w:val="2"/>
          <w:szCs w:val="24"/>
        </w:rPr>
        <w:t>。</w:t>
      </w:r>
    </w:p>
    <w:p w14:paraId="6A637364"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kern w:val="2"/>
          <w:szCs w:val="24"/>
        </w:rPr>
        <w:t>2020</w:t>
      </w:r>
      <w:r>
        <w:rPr>
          <w:rFonts w:ascii="Times New Roman" w:eastAsiaTheme="minorEastAsia" w:hAnsi="Times New Roman" w:cs="Times New Roman"/>
          <w:kern w:val="2"/>
          <w:szCs w:val="24"/>
        </w:rPr>
        <w:t>年主营收入构成：工业控制：</w:t>
      </w:r>
      <w:r>
        <w:rPr>
          <w:rFonts w:ascii="Times New Roman" w:eastAsiaTheme="minorEastAsia" w:hAnsi="Times New Roman" w:cs="Times New Roman"/>
          <w:kern w:val="2"/>
          <w:szCs w:val="24"/>
        </w:rPr>
        <w:t>93.82%</w:t>
      </w:r>
      <w:r>
        <w:rPr>
          <w:rFonts w:ascii="Times New Roman" w:eastAsiaTheme="minorEastAsia" w:hAnsi="Times New Roman" w:cs="Times New Roman"/>
          <w:kern w:val="2"/>
          <w:szCs w:val="24"/>
        </w:rPr>
        <w:t>；显示驱动类：</w:t>
      </w:r>
      <w:r>
        <w:rPr>
          <w:rFonts w:ascii="Times New Roman" w:eastAsiaTheme="minorEastAsia" w:hAnsi="Times New Roman" w:cs="Times New Roman"/>
          <w:kern w:val="2"/>
          <w:szCs w:val="24"/>
        </w:rPr>
        <w:t>6.18%</w:t>
      </w:r>
      <w:r>
        <w:rPr>
          <w:rFonts w:ascii="Times New Roman" w:eastAsiaTheme="minorEastAsia" w:hAnsi="Times New Roman" w:cs="Times New Roman"/>
          <w:kern w:val="2"/>
          <w:szCs w:val="24"/>
        </w:rPr>
        <w:t>。</w:t>
      </w:r>
    </w:p>
    <w:p w14:paraId="044EB1C7"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可比公司四：</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kern w:val="2"/>
          <w:szCs w:val="24"/>
        </w:rPr>
        <w:t>603160.SH</w:t>
      </w:r>
      <w:r>
        <w:rPr>
          <w:rFonts w:ascii="Times New Roman" w:eastAsiaTheme="minorEastAsia" w:hAnsi="Times New Roman" w:cs="Times New Roman"/>
          <w:kern w:val="2"/>
          <w:szCs w:val="24"/>
        </w:rPr>
        <w:t>）</w:t>
      </w:r>
    </w:p>
    <w:p w14:paraId="5A06C8BA"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主营产品：平板触控芯片、手机触控芯片、指纹识别芯片。</w:t>
      </w:r>
    </w:p>
    <w:p w14:paraId="514F7291"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kern w:val="2"/>
          <w:szCs w:val="24"/>
        </w:rPr>
        <w:t>2019</w:t>
      </w:r>
      <w:r>
        <w:rPr>
          <w:rFonts w:ascii="Times New Roman" w:eastAsiaTheme="minorEastAsia" w:hAnsi="Times New Roman" w:cs="Times New Roman"/>
          <w:kern w:val="2"/>
          <w:szCs w:val="24"/>
        </w:rPr>
        <w:t>年主营收入构成：指纹识别芯片：</w:t>
      </w:r>
      <w:r>
        <w:rPr>
          <w:rFonts w:ascii="Times New Roman" w:eastAsiaTheme="minorEastAsia" w:hAnsi="Times New Roman" w:cs="Times New Roman"/>
          <w:kern w:val="2"/>
          <w:szCs w:val="24"/>
        </w:rPr>
        <w:t>83.6%</w:t>
      </w:r>
      <w:r>
        <w:rPr>
          <w:rFonts w:ascii="Times New Roman" w:eastAsiaTheme="minorEastAsia" w:hAnsi="Times New Roman" w:cs="Times New Roman"/>
          <w:kern w:val="2"/>
          <w:szCs w:val="24"/>
        </w:rPr>
        <w:t>；电容触控芯片：</w:t>
      </w:r>
      <w:r>
        <w:rPr>
          <w:rFonts w:ascii="Times New Roman" w:eastAsiaTheme="minorEastAsia" w:hAnsi="Times New Roman" w:cs="Times New Roman"/>
          <w:kern w:val="2"/>
          <w:szCs w:val="24"/>
        </w:rPr>
        <w:t>15.97%</w:t>
      </w:r>
      <w:r>
        <w:rPr>
          <w:rFonts w:ascii="Times New Roman" w:eastAsiaTheme="minorEastAsia" w:hAnsi="Times New Roman" w:cs="Times New Roman"/>
          <w:kern w:val="2"/>
          <w:szCs w:val="24"/>
        </w:rPr>
        <w:t>；其他芯片：</w:t>
      </w:r>
      <w:r>
        <w:rPr>
          <w:rFonts w:ascii="Times New Roman" w:eastAsiaTheme="minorEastAsia" w:hAnsi="Times New Roman" w:cs="Times New Roman"/>
          <w:kern w:val="2"/>
          <w:szCs w:val="24"/>
        </w:rPr>
        <w:t>0.34%</w:t>
      </w:r>
      <w:r>
        <w:rPr>
          <w:rFonts w:ascii="Times New Roman" w:eastAsiaTheme="minorEastAsia" w:hAnsi="Times New Roman" w:cs="Times New Roman"/>
          <w:kern w:val="2"/>
          <w:szCs w:val="24"/>
        </w:rPr>
        <w:t>；其他业务：</w:t>
      </w:r>
      <w:r>
        <w:rPr>
          <w:rFonts w:ascii="Times New Roman" w:eastAsiaTheme="minorEastAsia" w:hAnsi="Times New Roman" w:cs="Times New Roman"/>
          <w:kern w:val="2"/>
          <w:szCs w:val="24"/>
        </w:rPr>
        <w:t>0.09%</w:t>
      </w:r>
      <w:r>
        <w:rPr>
          <w:rFonts w:ascii="Times New Roman" w:eastAsiaTheme="minorEastAsia" w:hAnsi="Times New Roman" w:cs="Times New Roman"/>
          <w:kern w:val="2"/>
          <w:szCs w:val="24"/>
        </w:rPr>
        <w:t>。</w:t>
      </w:r>
    </w:p>
    <w:p w14:paraId="6FEB0D33"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kern w:val="2"/>
          <w:szCs w:val="24"/>
        </w:rPr>
        <w:t>2020</w:t>
      </w:r>
      <w:r>
        <w:rPr>
          <w:rFonts w:ascii="Times New Roman" w:eastAsiaTheme="minorEastAsia" w:hAnsi="Times New Roman" w:cs="Times New Roman"/>
          <w:kern w:val="2"/>
          <w:szCs w:val="24"/>
        </w:rPr>
        <w:t>年主营收入构成：指纹识别芯片：</w:t>
      </w:r>
      <w:r>
        <w:rPr>
          <w:rFonts w:ascii="Times New Roman" w:eastAsiaTheme="minorEastAsia" w:hAnsi="Times New Roman" w:cs="Times New Roman"/>
          <w:kern w:val="2"/>
          <w:szCs w:val="24"/>
        </w:rPr>
        <w:t>74.11%</w:t>
      </w:r>
      <w:r>
        <w:rPr>
          <w:rFonts w:ascii="Times New Roman" w:eastAsiaTheme="minorEastAsia" w:hAnsi="Times New Roman" w:cs="Times New Roman"/>
          <w:kern w:val="2"/>
          <w:szCs w:val="24"/>
        </w:rPr>
        <w:t>；电容触控芯片：</w:t>
      </w:r>
      <w:r>
        <w:rPr>
          <w:rFonts w:ascii="Times New Roman" w:eastAsiaTheme="minorEastAsia" w:hAnsi="Times New Roman" w:cs="Times New Roman"/>
          <w:kern w:val="2"/>
          <w:szCs w:val="24"/>
        </w:rPr>
        <w:t>15.79%</w:t>
      </w:r>
      <w:r>
        <w:rPr>
          <w:rFonts w:ascii="Times New Roman" w:eastAsiaTheme="minorEastAsia" w:hAnsi="Times New Roman" w:cs="Times New Roman"/>
          <w:kern w:val="2"/>
          <w:szCs w:val="24"/>
        </w:rPr>
        <w:t>；其他芯片：</w:t>
      </w:r>
      <w:r>
        <w:rPr>
          <w:rFonts w:ascii="Times New Roman" w:eastAsiaTheme="minorEastAsia" w:hAnsi="Times New Roman" w:cs="Times New Roman"/>
          <w:kern w:val="2"/>
          <w:szCs w:val="24"/>
        </w:rPr>
        <w:t>8.13%</w:t>
      </w:r>
      <w:r>
        <w:rPr>
          <w:rFonts w:ascii="Times New Roman" w:eastAsiaTheme="minorEastAsia" w:hAnsi="Times New Roman" w:cs="Times New Roman"/>
          <w:kern w:val="2"/>
          <w:szCs w:val="24"/>
        </w:rPr>
        <w:t>；其他业务：</w:t>
      </w:r>
      <w:r>
        <w:rPr>
          <w:rFonts w:ascii="Times New Roman" w:eastAsiaTheme="minorEastAsia" w:hAnsi="Times New Roman" w:cs="Times New Roman"/>
          <w:kern w:val="2"/>
          <w:szCs w:val="24"/>
        </w:rPr>
        <w:t>1.97%</w:t>
      </w:r>
      <w:r>
        <w:rPr>
          <w:rFonts w:ascii="Times New Roman" w:eastAsiaTheme="minorEastAsia" w:hAnsi="Times New Roman" w:cs="Times New Roman"/>
          <w:kern w:val="2"/>
          <w:szCs w:val="24"/>
        </w:rPr>
        <w:t>。</w:t>
      </w:r>
    </w:p>
    <w:p w14:paraId="27664647" w14:textId="5C3AD965"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综上所述，从主营业务来看，标的公司芯片设计、销售占主营比例为</w:t>
      </w:r>
      <w:r>
        <w:rPr>
          <w:rFonts w:ascii="Times New Roman" w:eastAsiaTheme="minorEastAsia" w:hAnsi="Times New Roman" w:cs="Times New Roman"/>
          <w:kern w:val="2"/>
          <w:szCs w:val="24"/>
        </w:rPr>
        <w:t>98.6%</w:t>
      </w:r>
      <w:r>
        <w:rPr>
          <w:rFonts w:ascii="Times New Roman" w:eastAsiaTheme="minorEastAsia" w:hAnsi="Times New Roman" w:cs="Times New Roman"/>
          <w:kern w:val="2"/>
          <w:szCs w:val="24"/>
        </w:rPr>
        <w:t>，四家可比上市公司芯片设计、销售占主营比例均在</w:t>
      </w:r>
      <w:r>
        <w:rPr>
          <w:rFonts w:ascii="Times New Roman" w:eastAsiaTheme="minorEastAsia" w:hAnsi="Times New Roman" w:cs="Times New Roman"/>
          <w:kern w:val="2"/>
          <w:szCs w:val="24"/>
        </w:rPr>
        <w:t>88%</w:t>
      </w:r>
      <w:r>
        <w:rPr>
          <w:rFonts w:ascii="Times New Roman" w:eastAsiaTheme="minorEastAsia" w:hAnsi="Times New Roman" w:cs="Times New Roman"/>
          <w:kern w:val="2"/>
          <w:szCs w:val="24"/>
        </w:rPr>
        <w:t>以上，与标的公司业务类型相似</w:t>
      </w:r>
      <w:r>
        <w:rPr>
          <w:rFonts w:ascii="Times New Roman" w:eastAsiaTheme="minorEastAsia" w:hAnsi="Times New Roman" w:cs="Times New Roman" w:hint="eastAsia"/>
          <w:kern w:val="2"/>
          <w:szCs w:val="24"/>
        </w:rPr>
        <w:t>，主营业务无重大差异、满足可比性</w:t>
      </w:r>
      <w:r>
        <w:rPr>
          <w:rFonts w:ascii="Times New Roman" w:eastAsiaTheme="minorEastAsia" w:hAnsi="Times New Roman" w:cs="Times New Roman"/>
          <w:kern w:val="2"/>
          <w:szCs w:val="24"/>
        </w:rPr>
        <w:t>。</w:t>
      </w:r>
    </w:p>
    <w:p w14:paraId="036E5F48" w14:textId="1F193E8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kern w:val="2"/>
          <w:szCs w:val="24"/>
        </w:rPr>
        <w:t>2</w:t>
      </w:r>
      <w:r>
        <w:rPr>
          <w:rFonts w:ascii="Times New Roman" w:eastAsiaTheme="minorEastAsia" w:hAnsi="Times New Roman" w:cs="Times New Roman" w:hint="eastAsia"/>
          <w:kern w:val="2"/>
          <w:szCs w:val="24"/>
        </w:rPr>
        <w:t>、标的公司与可比公司在盈利能力、偿债能力、营运能力、成长能力等方面的具体差异（以</w:t>
      </w:r>
      <w:r>
        <w:rPr>
          <w:rFonts w:ascii="Times New Roman" w:eastAsiaTheme="minorEastAsia" w:hAnsi="Times New Roman" w:cs="Times New Roman" w:hint="eastAsia"/>
          <w:kern w:val="2"/>
          <w:szCs w:val="24"/>
        </w:rPr>
        <w:t>2020</w:t>
      </w:r>
      <w:r>
        <w:rPr>
          <w:rFonts w:ascii="Times New Roman" w:eastAsiaTheme="minorEastAsia" w:hAnsi="Times New Roman" w:cs="Times New Roman" w:hint="eastAsia"/>
          <w:kern w:val="2"/>
          <w:szCs w:val="24"/>
        </w:rPr>
        <w:t>年度财务指标为例）</w:t>
      </w:r>
    </w:p>
    <w:p w14:paraId="3C49F026"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上市公司比较法是指获取并分析可比公司的经营和财务数据，计算适当的价值比率，在与被评估单位比较分析的基础上，确定评估对象价值的具体方法。绝对指标是反映社会经济现象总体规模或水平的一种综合指标，但企业收入、资产规模与盈利能力相关性较差，从适当的价值比率进行分析和比较，才可合理计算标的公司的市场价值。因此评估机构根据对比标的公司与可比公司在盈利能力、偿债能力、营运能力、成长能力等的相对指标进行分析、评估。</w:t>
      </w:r>
    </w:p>
    <w:p w14:paraId="7B8EB4F9" w14:textId="77777777" w:rsidR="00BD3166" w:rsidRPr="00E367D8" w:rsidRDefault="00C64679">
      <w:pPr>
        <w:pStyle w:val="zw"/>
        <w:snapToGrid w:val="0"/>
        <w:rPr>
          <w:rFonts w:ascii="Times New Roman" w:hAnsi="Times New Roman" w:cs="Times New Roman"/>
          <w:szCs w:val="24"/>
        </w:rPr>
      </w:pPr>
      <w:r>
        <w:rPr>
          <w:rFonts w:ascii="Times New Roman" w:eastAsiaTheme="minorEastAsia" w:hAnsi="Times New Roman" w:cs="Times New Roman" w:hint="eastAsia"/>
          <w:kern w:val="2"/>
          <w:szCs w:val="24"/>
        </w:rPr>
        <w:t>经计算，评估对象与可比公司</w:t>
      </w:r>
      <w:r>
        <w:rPr>
          <w:rFonts w:ascii="Times New Roman" w:eastAsiaTheme="minorEastAsia" w:hAnsi="Times New Roman" w:cs="Times New Roman" w:hint="eastAsia"/>
          <w:kern w:val="2"/>
          <w:szCs w:val="24"/>
        </w:rPr>
        <w:t>2020</w:t>
      </w:r>
      <w:r>
        <w:rPr>
          <w:rFonts w:ascii="Times New Roman" w:eastAsiaTheme="minorEastAsia" w:hAnsi="Times New Roman" w:cs="Times New Roman" w:hint="eastAsia"/>
          <w:kern w:val="2"/>
          <w:szCs w:val="24"/>
        </w:rPr>
        <w:t>年度财务指标如下表：</w:t>
      </w:r>
    </w:p>
    <w:tbl>
      <w:tblPr>
        <w:tblW w:w="4996" w:type="pct"/>
        <w:jc w:val="center"/>
        <w:tblLayout w:type="fixed"/>
        <w:tblLook w:val="04A0" w:firstRow="1" w:lastRow="0" w:firstColumn="1" w:lastColumn="0" w:noHBand="0" w:noVBand="1"/>
      </w:tblPr>
      <w:tblGrid>
        <w:gridCol w:w="1052"/>
        <w:gridCol w:w="590"/>
        <w:gridCol w:w="612"/>
        <w:gridCol w:w="696"/>
        <w:gridCol w:w="704"/>
        <w:gridCol w:w="639"/>
        <w:gridCol w:w="695"/>
        <w:gridCol w:w="695"/>
        <w:gridCol w:w="639"/>
        <w:gridCol w:w="754"/>
        <w:gridCol w:w="754"/>
        <w:gridCol w:w="685"/>
      </w:tblGrid>
      <w:tr w:rsidR="00BD3166" w14:paraId="6A5C8BFB" w14:textId="77777777" w:rsidTr="00E367D8">
        <w:trPr>
          <w:trHeight w:val="285"/>
          <w:jc w:val="center"/>
        </w:trPr>
        <w:tc>
          <w:tcPr>
            <w:tcW w:w="963" w:type="pct"/>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2CC1A620"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基本信息</w:t>
            </w:r>
          </w:p>
        </w:tc>
        <w:tc>
          <w:tcPr>
            <w:tcW w:w="1180" w:type="pct"/>
            <w:gridSpan w:val="3"/>
            <w:tcBorders>
              <w:top w:val="single" w:sz="4" w:space="0" w:color="auto"/>
              <w:left w:val="nil"/>
              <w:bottom w:val="single" w:sz="4" w:space="0" w:color="auto"/>
              <w:right w:val="single" w:sz="4" w:space="0" w:color="auto"/>
            </w:tcBorders>
            <w:shd w:val="clear" w:color="000000" w:fill="auto"/>
            <w:vAlign w:val="center"/>
          </w:tcPr>
          <w:p w14:paraId="1C0EE23C" w14:textId="26808E55"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盈利能力</w:t>
            </w:r>
          </w:p>
        </w:tc>
        <w:tc>
          <w:tcPr>
            <w:tcW w:w="783" w:type="pct"/>
            <w:gridSpan w:val="2"/>
            <w:tcBorders>
              <w:top w:val="single" w:sz="4" w:space="0" w:color="auto"/>
              <w:left w:val="nil"/>
              <w:bottom w:val="single" w:sz="4" w:space="0" w:color="auto"/>
              <w:right w:val="single" w:sz="4" w:space="0" w:color="auto"/>
            </w:tcBorders>
            <w:shd w:val="clear" w:color="000000" w:fill="auto"/>
            <w:vAlign w:val="center"/>
          </w:tcPr>
          <w:p w14:paraId="0209CBA7" w14:textId="2CE1106F"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营运能力</w:t>
            </w:r>
          </w:p>
        </w:tc>
        <w:tc>
          <w:tcPr>
            <w:tcW w:w="783" w:type="pct"/>
            <w:gridSpan w:val="2"/>
            <w:tcBorders>
              <w:top w:val="single" w:sz="4" w:space="0" w:color="auto"/>
              <w:left w:val="nil"/>
              <w:bottom w:val="single" w:sz="4" w:space="0" w:color="auto"/>
              <w:right w:val="single" w:sz="4" w:space="0" w:color="auto"/>
            </w:tcBorders>
            <w:shd w:val="clear" w:color="000000" w:fill="auto"/>
            <w:vAlign w:val="center"/>
          </w:tcPr>
          <w:p w14:paraId="4CD66D74" w14:textId="51404156"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偿债能力</w:t>
            </w:r>
          </w:p>
        </w:tc>
        <w:tc>
          <w:tcPr>
            <w:tcW w:w="1288" w:type="pct"/>
            <w:gridSpan w:val="3"/>
            <w:tcBorders>
              <w:top w:val="single" w:sz="4" w:space="0" w:color="auto"/>
              <w:left w:val="nil"/>
              <w:bottom w:val="single" w:sz="4" w:space="0" w:color="auto"/>
              <w:right w:val="single" w:sz="4" w:space="0" w:color="auto"/>
            </w:tcBorders>
            <w:shd w:val="clear" w:color="000000" w:fill="auto"/>
            <w:vAlign w:val="center"/>
          </w:tcPr>
          <w:p w14:paraId="5931E64A" w14:textId="29175B9E"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成长能力</w:t>
            </w:r>
          </w:p>
        </w:tc>
      </w:tr>
      <w:tr w:rsidR="00BD3166" w14:paraId="5E6597DC" w14:textId="77777777">
        <w:trPr>
          <w:trHeight w:val="540"/>
          <w:jc w:val="center"/>
        </w:trPr>
        <w:tc>
          <w:tcPr>
            <w:tcW w:w="617" w:type="pct"/>
            <w:tcBorders>
              <w:top w:val="nil"/>
              <w:left w:val="single" w:sz="4" w:space="0" w:color="auto"/>
              <w:bottom w:val="single" w:sz="4" w:space="0" w:color="auto"/>
              <w:right w:val="single" w:sz="4" w:space="0" w:color="auto"/>
            </w:tcBorders>
            <w:shd w:val="clear" w:color="000000" w:fill="auto"/>
            <w:vAlign w:val="center"/>
          </w:tcPr>
          <w:p w14:paraId="7B7319FC"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证券代码</w:t>
            </w:r>
          </w:p>
        </w:tc>
        <w:tc>
          <w:tcPr>
            <w:tcW w:w="345" w:type="pct"/>
            <w:tcBorders>
              <w:top w:val="nil"/>
              <w:left w:val="nil"/>
              <w:bottom w:val="single" w:sz="4" w:space="0" w:color="auto"/>
              <w:right w:val="single" w:sz="4" w:space="0" w:color="auto"/>
            </w:tcBorders>
            <w:shd w:val="clear" w:color="000000" w:fill="auto"/>
            <w:vAlign w:val="center"/>
          </w:tcPr>
          <w:p w14:paraId="09B8D7C7"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证券简称</w:t>
            </w:r>
          </w:p>
        </w:tc>
        <w:tc>
          <w:tcPr>
            <w:tcW w:w="359" w:type="pct"/>
            <w:tcBorders>
              <w:top w:val="nil"/>
              <w:left w:val="nil"/>
              <w:bottom w:val="single" w:sz="4" w:space="0" w:color="auto"/>
              <w:right w:val="single" w:sz="4" w:space="0" w:color="auto"/>
            </w:tcBorders>
            <w:shd w:val="clear" w:color="000000" w:fill="auto"/>
            <w:vAlign w:val="center"/>
          </w:tcPr>
          <w:p w14:paraId="133AB142"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净资产收益率</w:t>
            </w:r>
            <w:r w:rsidRPr="00E367D8">
              <w:rPr>
                <w:rFonts w:ascii="Times New Roman" w:eastAsia="宋体" w:hAnsi="Times New Roman" w:cs="Times New Roman"/>
                <w:b/>
                <w:bCs/>
                <w:w w:val="90"/>
                <w:sz w:val="18"/>
                <w:szCs w:val="18"/>
              </w:rPr>
              <w:t>(%)</w:t>
            </w:r>
          </w:p>
        </w:tc>
        <w:tc>
          <w:tcPr>
            <w:tcW w:w="408" w:type="pct"/>
            <w:tcBorders>
              <w:top w:val="nil"/>
              <w:left w:val="nil"/>
              <w:bottom w:val="single" w:sz="4" w:space="0" w:color="auto"/>
              <w:right w:val="single" w:sz="4" w:space="0" w:color="auto"/>
            </w:tcBorders>
            <w:shd w:val="clear" w:color="000000" w:fill="auto"/>
            <w:vAlign w:val="center"/>
          </w:tcPr>
          <w:p w14:paraId="4DAEDAC9"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总资产报酬率</w:t>
            </w:r>
            <w:r w:rsidRPr="00E367D8">
              <w:rPr>
                <w:rFonts w:ascii="Times New Roman" w:eastAsia="宋体" w:hAnsi="Times New Roman" w:cs="Times New Roman"/>
                <w:b/>
                <w:bCs/>
                <w:w w:val="90"/>
                <w:sz w:val="18"/>
                <w:szCs w:val="18"/>
              </w:rPr>
              <w:t>(%)</w:t>
            </w:r>
          </w:p>
        </w:tc>
        <w:tc>
          <w:tcPr>
            <w:tcW w:w="412" w:type="pct"/>
            <w:tcBorders>
              <w:top w:val="nil"/>
              <w:left w:val="nil"/>
              <w:bottom w:val="single" w:sz="4" w:space="0" w:color="auto"/>
              <w:right w:val="single" w:sz="4" w:space="0" w:color="auto"/>
            </w:tcBorders>
            <w:shd w:val="clear" w:color="000000" w:fill="auto"/>
            <w:vAlign w:val="center"/>
          </w:tcPr>
          <w:p w14:paraId="480C387F"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销售</w:t>
            </w:r>
            <w:r w:rsidRPr="00E367D8">
              <w:rPr>
                <w:rFonts w:ascii="Times New Roman" w:eastAsia="宋体" w:hAnsi="Times New Roman" w:cs="Times New Roman"/>
                <w:b/>
                <w:bCs/>
                <w:w w:val="90"/>
                <w:sz w:val="18"/>
                <w:szCs w:val="18"/>
              </w:rPr>
              <w:t>(</w:t>
            </w:r>
            <w:r w:rsidRPr="00E367D8">
              <w:rPr>
                <w:rFonts w:ascii="Times New Roman" w:eastAsia="宋体" w:hAnsi="Times New Roman" w:cs="Times New Roman"/>
                <w:b/>
                <w:bCs/>
                <w:w w:val="90"/>
                <w:sz w:val="18"/>
                <w:szCs w:val="18"/>
              </w:rPr>
              <w:t>营业</w:t>
            </w:r>
            <w:r w:rsidRPr="00E367D8">
              <w:rPr>
                <w:rFonts w:ascii="Times New Roman" w:eastAsia="宋体" w:hAnsi="Times New Roman" w:cs="Times New Roman"/>
                <w:b/>
                <w:bCs/>
                <w:w w:val="90"/>
                <w:sz w:val="18"/>
                <w:szCs w:val="18"/>
              </w:rPr>
              <w:t>)</w:t>
            </w:r>
            <w:r w:rsidRPr="00E367D8">
              <w:rPr>
                <w:rFonts w:ascii="Times New Roman" w:eastAsia="宋体" w:hAnsi="Times New Roman" w:cs="Times New Roman"/>
                <w:b/>
                <w:bCs/>
                <w:w w:val="90"/>
                <w:sz w:val="18"/>
                <w:szCs w:val="18"/>
              </w:rPr>
              <w:t>利润率</w:t>
            </w:r>
            <w:r w:rsidRPr="00E367D8">
              <w:rPr>
                <w:rFonts w:ascii="Times New Roman" w:eastAsia="宋体" w:hAnsi="Times New Roman" w:cs="Times New Roman"/>
                <w:b/>
                <w:bCs/>
                <w:w w:val="90"/>
                <w:sz w:val="18"/>
                <w:szCs w:val="18"/>
              </w:rPr>
              <w:t>(%)</w:t>
            </w:r>
          </w:p>
        </w:tc>
        <w:tc>
          <w:tcPr>
            <w:tcW w:w="375" w:type="pct"/>
            <w:tcBorders>
              <w:top w:val="nil"/>
              <w:left w:val="nil"/>
              <w:bottom w:val="single" w:sz="4" w:space="0" w:color="auto"/>
              <w:right w:val="single" w:sz="4" w:space="0" w:color="auto"/>
            </w:tcBorders>
            <w:shd w:val="clear" w:color="000000" w:fill="auto"/>
            <w:vAlign w:val="center"/>
          </w:tcPr>
          <w:p w14:paraId="17E0340F"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bookmarkStart w:id="16" w:name="_Hlk75186433"/>
            <w:r w:rsidRPr="00E367D8">
              <w:rPr>
                <w:rFonts w:ascii="Times New Roman" w:eastAsia="宋体" w:hAnsi="Times New Roman" w:cs="Times New Roman" w:hint="eastAsia"/>
                <w:b/>
                <w:bCs/>
                <w:w w:val="90"/>
                <w:sz w:val="18"/>
                <w:szCs w:val="18"/>
              </w:rPr>
              <w:t>总资产周转率</w:t>
            </w:r>
            <w:bookmarkEnd w:id="16"/>
            <w:r w:rsidRPr="00E367D8">
              <w:rPr>
                <w:rFonts w:ascii="Times New Roman" w:eastAsia="宋体" w:hAnsi="Times New Roman" w:cs="Times New Roman"/>
                <w:b/>
                <w:bCs/>
                <w:w w:val="90"/>
                <w:sz w:val="18"/>
                <w:szCs w:val="18"/>
              </w:rPr>
              <w:t>(</w:t>
            </w:r>
            <w:r w:rsidRPr="00E367D8">
              <w:rPr>
                <w:rFonts w:ascii="Times New Roman" w:eastAsia="宋体" w:hAnsi="Times New Roman" w:cs="Times New Roman"/>
                <w:b/>
                <w:bCs/>
                <w:w w:val="90"/>
                <w:sz w:val="18"/>
                <w:szCs w:val="18"/>
              </w:rPr>
              <w:t>次</w:t>
            </w:r>
            <w:r w:rsidRPr="00E367D8">
              <w:rPr>
                <w:rFonts w:ascii="Times New Roman" w:eastAsia="宋体" w:hAnsi="Times New Roman" w:cs="Times New Roman"/>
                <w:b/>
                <w:bCs/>
                <w:w w:val="90"/>
                <w:sz w:val="18"/>
                <w:szCs w:val="18"/>
              </w:rPr>
              <w:t>)</w:t>
            </w:r>
          </w:p>
        </w:tc>
        <w:tc>
          <w:tcPr>
            <w:tcW w:w="408" w:type="pct"/>
            <w:tcBorders>
              <w:top w:val="nil"/>
              <w:left w:val="nil"/>
              <w:bottom w:val="single" w:sz="4" w:space="0" w:color="auto"/>
              <w:right w:val="single" w:sz="4" w:space="0" w:color="auto"/>
            </w:tcBorders>
            <w:shd w:val="clear" w:color="000000" w:fill="auto"/>
            <w:vAlign w:val="center"/>
          </w:tcPr>
          <w:p w14:paraId="0F39E7B6"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应收账款周转率</w:t>
            </w:r>
            <w:r w:rsidRPr="00E367D8">
              <w:rPr>
                <w:rFonts w:ascii="Times New Roman" w:eastAsia="宋体" w:hAnsi="Times New Roman" w:cs="Times New Roman"/>
                <w:b/>
                <w:bCs/>
                <w:w w:val="90"/>
                <w:sz w:val="18"/>
                <w:szCs w:val="18"/>
              </w:rPr>
              <w:t>(</w:t>
            </w:r>
            <w:r w:rsidRPr="00E367D8">
              <w:rPr>
                <w:rFonts w:ascii="Times New Roman" w:eastAsia="宋体" w:hAnsi="Times New Roman" w:cs="Times New Roman"/>
                <w:b/>
                <w:bCs/>
                <w:w w:val="90"/>
                <w:sz w:val="18"/>
                <w:szCs w:val="18"/>
              </w:rPr>
              <w:t>次</w:t>
            </w:r>
            <w:r w:rsidRPr="00E367D8">
              <w:rPr>
                <w:rFonts w:ascii="Times New Roman" w:eastAsia="宋体" w:hAnsi="Times New Roman" w:cs="Times New Roman"/>
                <w:b/>
                <w:bCs/>
                <w:w w:val="90"/>
                <w:sz w:val="18"/>
                <w:szCs w:val="18"/>
              </w:rPr>
              <w:t>)</w:t>
            </w:r>
          </w:p>
        </w:tc>
        <w:tc>
          <w:tcPr>
            <w:tcW w:w="408" w:type="pct"/>
            <w:tcBorders>
              <w:top w:val="nil"/>
              <w:left w:val="nil"/>
              <w:bottom w:val="single" w:sz="4" w:space="0" w:color="auto"/>
              <w:right w:val="single" w:sz="4" w:space="0" w:color="auto"/>
            </w:tcBorders>
            <w:shd w:val="clear" w:color="000000" w:fill="auto"/>
            <w:vAlign w:val="center"/>
          </w:tcPr>
          <w:p w14:paraId="3B7AF6CD"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资产负债率</w:t>
            </w:r>
            <w:r w:rsidRPr="00E367D8">
              <w:rPr>
                <w:rFonts w:ascii="Times New Roman" w:eastAsia="宋体" w:hAnsi="Times New Roman" w:cs="Times New Roman"/>
                <w:b/>
                <w:bCs/>
                <w:w w:val="90"/>
                <w:sz w:val="18"/>
                <w:szCs w:val="18"/>
              </w:rPr>
              <w:t>(%)</w:t>
            </w:r>
          </w:p>
        </w:tc>
        <w:tc>
          <w:tcPr>
            <w:tcW w:w="375" w:type="pct"/>
            <w:tcBorders>
              <w:top w:val="nil"/>
              <w:left w:val="nil"/>
              <w:bottom w:val="single" w:sz="4" w:space="0" w:color="auto"/>
              <w:right w:val="single" w:sz="4" w:space="0" w:color="auto"/>
            </w:tcBorders>
            <w:shd w:val="clear" w:color="000000" w:fill="auto"/>
            <w:vAlign w:val="center"/>
          </w:tcPr>
          <w:p w14:paraId="775AED76"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速动比率</w:t>
            </w:r>
          </w:p>
        </w:tc>
        <w:tc>
          <w:tcPr>
            <w:tcW w:w="443" w:type="pct"/>
            <w:tcBorders>
              <w:top w:val="nil"/>
              <w:left w:val="nil"/>
              <w:bottom w:val="single" w:sz="4" w:space="0" w:color="auto"/>
              <w:right w:val="single" w:sz="4" w:space="0" w:color="auto"/>
            </w:tcBorders>
            <w:shd w:val="clear" w:color="000000" w:fill="auto"/>
            <w:vAlign w:val="center"/>
          </w:tcPr>
          <w:p w14:paraId="7654C3A5"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销售</w:t>
            </w:r>
            <w:r w:rsidRPr="00E367D8">
              <w:rPr>
                <w:rFonts w:ascii="Times New Roman" w:eastAsia="宋体" w:hAnsi="Times New Roman" w:cs="Times New Roman"/>
                <w:b/>
                <w:bCs/>
                <w:w w:val="90"/>
                <w:sz w:val="18"/>
                <w:szCs w:val="18"/>
              </w:rPr>
              <w:t>(</w:t>
            </w:r>
            <w:r w:rsidRPr="00E367D8">
              <w:rPr>
                <w:rFonts w:ascii="Times New Roman" w:eastAsia="宋体" w:hAnsi="Times New Roman" w:cs="Times New Roman"/>
                <w:b/>
                <w:bCs/>
                <w:w w:val="90"/>
                <w:sz w:val="18"/>
                <w:szCs w:val="18"/>
              </w:rPr>
              <w:t>营业</w:t>
            </w:r>
            <w:r w:rsidRPr="00E367D8">
              <w:rPr>
                <w:rFonts w:ascii="Times New Roman" w:eastAsia="宋体" w:hAnsi="Times New Roman" w:cs="Times New Roman"/>
                <w:b/>
                <w:bCs/>
                <w:w w:val="90"/>
                <w:sz w:val="18"/>
                <w:szCs w:val="18"/>
              </w:rPr>
              <w:t>)</w:t>
            </w:r>
            <w:r w:rsidRPr="00E367D8">
              <w:rPr>
                <w:rFonts w:ascii="Times New Roman" w:eastAsia="宋体" w:hAnsi="Times New Roman" w:cs="Times New Roman"/>
                <w:b/>
                <w:bCs/>
                <w:w w:val="90"/>
                <w:sz w:val="18"/>
                <w:szCs w:val="18"/>
              </w:rPr>
              <w:t>增长率</w:t>
            </w:r>
            <w:r w:rsidRPr="00E367D8">
              <w:rPr>
                <w:rFonts w:ascii="Times New Roman" w:eastAsia="宋体" w:hAnsi="Times New Roman" w:cs="Times New Roman"/>
                <w:b/>
                <w:bCs/>
                <w:w w:val="90"/>
                <w:sz w:val="18"/>
                <w:szCs w:val="18"/>
              </w:rPr>
              <w:t>(%)</w:t>
            </w:r>
          </w:p>
        </w:tc>
        <w:tc>
          <w:tcPr>
            <w:tcW w:w="443" w:type="pct"/>
            <w:tcBorders>
              <w:top w:val="nil"/>
              <w:left w:val="nil"/>
              <w:bottom w:val="single" w:sz="4" w:space="0" w:color="auto"/>
              <w:right w:val="single" w:sz="4" w:space="0" w:color="auto"/>
            </w:tcBorders>
            <w:shd w:val="clear" w:color="000000" w:fill="auto"/>
            <w:vAlign w:val="center"/>
          </w:tcPr>
          <w:p w14:paraId="2CE293D8"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销售</w:t>
            </w:r>
            <w:r w:rsidRPr="00E367D8">
              <w:rPr>
                <w:rFonts w:ascii="Times New Roman" w:eastAsia="宋体" w:hAnsi="Times New Roman" w:cs="Times New Roman"/>
                <w:b/>
                <w:bCs/>
                <w:w w:val="90"/>
                <w:sz w:val="18"/>
                <w:szCs w:val="18"/>
              </w:rPr>
              <w:t>(</w:t>
            </w:r>
            <w:r w:rsidRPr="00E367D8">
              <w:rPr>
                <w:rFonts w:ascii="Times New Roman" w:eastAsia="宋体" w:hAnsi="Times New Roman" w:cs="Times New Roman"/>
                <w:b/>
                <w:bCs/>
                <w:w w:val="90"/>
                <w:sz w:val="18"/>
                <w:szCs w:val="18"/>
              </w:rPr>
              <w:t>营业</w:t>
            </w:r>
            <w:r w:rsidRPr="00E367D8">
              <w:rPr>
                <w:rFonts w:ascii="Times New Roman" w:eastAsia="宋体" w:hAnsi="Times New Roman" w:cs="Times New Roman"/>
                <w:b/>
                <w:bCs/>
                <w:w w:val="90"/>
                <w:sz w:val="18"/>
                <w:szCs w:val="18"/>
              </w:rPr>
              <w:t>)</w:t>
            </w:r>
            <w:r w:rsidRPr="00E367D8">
              <w:rPr>
                <w:rFonts w:ascii="Times New Roman" w:eastAsia="宋体" w:hAnsi="Times New Roman" w:cs="Times New Roman"/>
                <w:b/>
                <w:bCs/>
                <w:w w:val="90"/>
                <w:sz w:val="18"/>
                <w:szCs w:val="18"/>
              </w:rPr>
              <w:t>利润增长率</w:t>
            </w:r>
            <w:r w:rsidRPr="00E367D8">
              <w:rPr>
                <w:rFonts w:ascii="Times New Roman" w:eastAsia="宋体" w:hAnsi="Times New Roman" w:cs="Times New Roman"/>
                <w:b/>
                <w:bCs/>
                <w:w w:val="90"/>
                <w:sz w:val="18"/>
                <w:szCs w:val="18"/>
              </w:rPr>
              <w:t>(%)</w:t>
            </w:r>
          </w:p>
        </w:tc>
        <w:tc>
          <w:tcPr>
            <w:tcW w:w="401" w:type="pct"/>
            <w:tcBorders>
              <w:top w:val="nil"/>
              <w:left w:val="nil"/>
              <w:bottom w:val="single" w:sz="4" w:space="0" w:color="auto"/>
              <w:right w:val="single" w:sz="4" w:space="0" w:color="auto"/>
            </w:tcBorders>
            <w:shd w:val="clear" w:color="000000" w:fill="auto"/>
            <w:vAlign w:val="center"/>
          </w:tcPr>
          <w:p w14:paraId="0B4E8589" w14:textId="77777777" w:rsidR="00BD3166" w:rsidRPr="00E367D8" w:rsidRDefault="00C64679" w:rsidP="00E367D8">
            <w:pPr>
              <w:pStyle w:val="zw"/>
              <w:snapToGrid w:val="0"/>
              <w:spacing w:line="240" w:lineRule="auto"/>
              <w:ind w:firstLine="0"/>
              <w:jc w:val="center"/>
              <w:rPr>
                <w:rFonts w:ascii="Times New Roman" w:eastAsia="宋体" w:hAnsi="Times New Roman" w:cs="Times New Roman"/>
                <w:b/>
                <w:bCs/>
                <w:w w:val="90"/>
                <w:sz w:val="18"/>
                <w:szCs w:val="18"/>
              </w:rPr>
            </w:pPr>
            <w:r w:rsidRPr="00E367D8">
              <w:rPr>
                <w:rFonts w:ascii="Times New Roman" w:eastAsia="宋体" w:hAnsi="Times New Roman" w:cs="Times New Roman" w:hint="eastAsia"/>
                <w:b/>
                <w:bCs/>
                <w:w w:val="90"/>
                <w:sz w:val="18"/>
                <w:szCs w:val="18"/>
              </w:rPr>
              <w:t>总资产增长率</w:t>
            </w:r>
            <w:r w:rsidRPr="00E367D8">
              <w:rPr>
                <w:rFonts w:ascii="Times New Roman" w:eastAsia="宋体" w:hAnsi="Times New Roman" w:cs="Times New Roman"/>
                <w:b/>
                <w:bCs/>
                <w:w w:val="90"/>
                <w:sz w:val="18"/>
                <w:szCs w:val="18"/>
              </w:rPr>
              <w:t>(%)</w:t>
            </w:r>
          </w:p>
        </w:tc>
      </w:tr>
      <w:tr w:rsidR="00BD3166" w14:paraId="2934E463" w14:textId="77777777" w:rsidTr="00E367D8">
        <w:trPr>
          <w:trHeight w:val="319"/>
          <w:jc w:val="center"/>
        </w:trPr>
        <w:tc>
          <w:tcPr>
            <w:tcW w:w="963" w:type="pct"/>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7A7FAA83" w14:textId="77777777" w:rsidR="00BD3166" w:rsidRPr="00E367D8" w:rsidRDefault="00C64679">
            <w:pPr>
              <w:pStyle w:val="zw"/>
              <w:snapToGrid w:val="0"/>
              <w:spacing w:line="240" w:lineRule="auto"/>
              <w:ind w:firstLine="0"/>
              <w:rPr>
                <w:rFonts w:ascii="Times New Roman" w:eastAsia="宋体" w:hAnsi="Times New Roman" w:cs="Times New Roman"/>
                <w:w w:val="90"/>
                <w:sz w:val="18"/>
                <w:szCs w:val="18"/>
              </w:rPr>
            </w:pPr>
            <w:r w:rsidRPr="00E367D8">
              <w:rPr>
                <w:rFonts w:ascii="Times New Roman" w:eastAsia="宋体" w:hAnsi="Times New Roman" w:cs="Times New Roman" w:hint="eastAsia"/>
                <w:w w:val="90"/>
                <w:sz w:val="18"/>
                <w:szCs w:val="18"/>
              </w:rPr>
              <w:t>大唐微电子</w:t>
            </w:r>
          </w:p>
        </w:tc>
        <w:tc>
          <w:tcPr>
            <w:tcW w:w="359" w:type="pct"/>
            <w:tcBorders>
              <w:top w:val="nil"/>
              <w:left w:val="nil"/>
              <w:bottom w:val="single" w:sz="4" w:space="0" w:color="auto"/>
              <w:right w:val="single" w:sz="4" w:space="0" w:color="auto"/>
            </w:tcBorders>
            <w:shd w:val="clear" w:color="000000" w:fill="auto"/>
            <w:vAlign w:val="center"/>
          </w:tcPr>
          <w:p w14:paraId="0EBD4A65"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10.80</w:t>
            </w:r>
          </w:p>
        </w:tc>
        <w:tc>
          <w:tcPr>
            <w:tcW w:w="408" w:type="pct"/>
            <w:tcBorders>
              <w:top w:val="nil"/>
              <w:left w:val="nil"/>
              <w:bottom w:val="single" w:sz="4" w:space="0" w:color="auto"/>
              <w:right w:val="single" w:sz="4" w:space="0" w:color="auto"/>
            </w:tcBorders>
            <w:shd w:val="clear" w:color="000000" w:fill="auto"/>
            <w:vAlign w:val="center"/>
          </w:tcPr>
          <w:p w14:paraId="0EDBC043"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5.73</w:t>
            </w:r>
          </w:p>
        </w:tc>
        <w:tc>
          <w:tcPr>
            <w:tcW w:w="412" w:type="pct"/>
            <w:tcBorders>
              <w:top w:val="nil"/>
              <w:left w:val="nil"/>
              <w:bottom w:val="single" w:sz="4" w:space="0" w:color="auto"/>
              <w:right w:val="single" w:sz="4" w:space="0" w:color="auto"/>
            </w:tcBorders>
            <w:shd w:val="clear" w:color="000000" w:fill="auto"/>
            <w:vAlign w:val="center"/>
          </w:tcPr>
          <w:p w14:paraId="1F6B8D54"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14.83</w:t>
            </w:r>
          </w:p>
        </w:tc>
        <w:tc>
          <w:tcPr>
            <w:tcW w:w="375" w:type="pct"/>
            <w:tcBorders>
              <w:top w:val="nil"/>
              <w:left w:val="nil"/>
              <w:bottom w:val="single" w:sz="4" w:space="0" w:color="auto"/>
              <w:right w:val="single" w:sz="4" w:space="0" w:color="auto"/>
            </w:tcBorders>
            <w:shd w:val="clear" w:color="000000" w:fill="auto"/>
            <w:vAlign w:val="center"/>
          </w:tcPr>
          <w:p w14:paraId="7C1991D3"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0.28</w:t>
            </w:r>
          </w:p>
        </w:tc>
        <w:tc>
          <w:tcPr>
            <w:tcW w:w="408" w:type="pct"/>
            <w:tcBorders>
              <w:top w:val="nil"/>
              <w:left w:val="nil"/>
              <w:bottom w:val="single" w:sz="4" w:space="0" w:color="auto"/>
              <w:right w:val="single" w:sz="4" w:space="0" w:color="auto"/>
            </w:tcBorders>
            <w:shd w:val="clear" w:color="000000" w:fill="auto"/>
            <w:vAlign w:val="center"/>
          </w:tcPr>
          <w:p w14:paraId="7BFC4256"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3.67</w:t>
            </w:r>
          </w:p>
        </w:tc>
        <w:tc>
          <w:tcPr>
            <w:tcW w:w="408" w:type="pct"/>
            <w:tcBorders>
              <w:top w:val="nil"/>
              <w:left w:val="nil"/>
              <w:bottom w:val="single" w:sz="4" w:space="0" w:color="auto"/>
              <w:right w:val="single" w:sz="4" w:space="0" w:color="auto"/>
            </w:tcBorders>
            <w:shd w:val="clear" w:color="000000" w:fill="auto"/>
            <w:vAlign w:val="center"/>
          </w:tcPr>
          <w:p w14:paraId="1789D2A8"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70.80</w:t>
            </w:r>
          </w:p>
        </w:tc>
        <w:tc>
          <w:tcPr>
            <w:tcW w:w="375" w:type="pct"/>
            <w:tcBorders>
              <w:top w:val="nil"/>
              <w:left w:val="nil"/>
              <w:bottom w:val="single" w:sz="4" w:space="0" w:color="auto"/>
              <w:right w:val="single" w:sz="4" w:space="0" w:color="auto"/>
            </w:tcBorders>
            <w:shd w:val="clear" w:color="000000" w:fill="auto"/>
            <w:vAlign w:val="center"/>
          </w:tcPr>
          <w:p w14:paraId="1D6342C9"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1.55</w:t>
            </w:r>
          </w:p>
        </w:tc>
        <w:tc>
          <w:tcPr>
            <w:tcW w:w="443" w:type="pct"/>
            <w:tcBorders>
              <w:top w:val="nil"/>
              <w:left w:val="nil"/>
              <w:bottom w:val="single" w:sz="4" w:space="0" w:color="auto"/>
              <w:right w:val="single" w:sz="4" w:space="0" w:color="auto"/>
            </w:tcBorders>
            <w:shd w:val="clear" w:color="000000" w:fill="auto"/>
            <w:vAlign w:val="center"/>
          </w:tcPr>
          <w:p w14:paraId="0405E500"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-11.58</w:t>
            </w:r>
          </w:p>
        </w:tc>
        <w:tc>
          <w:tcPr>
            <w:tcW w:w="443" w:type="pct"/>
            <w:tcBorders>
              <w:top w:val="nil"/>
              <w:left w:val="nil"/>
              <w:bottom w:val="single" w:sz="4" w:space="0" w:color="auto"/>
              <w:right w:val="single" w:sz="4" w:space="0" w:color="auto"/>
            </w:tcBorders>
            <w:shd w:val="clear" w:color="000000" w:fill="auto"/>
            <w:vAlign w:val="center"/>
          </w:tcPr>
          <w:p w14:paraId="712EEB84"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-12.87</w:t>
            </w:r>
          </w:p>
        </w:tc>
        <w:tc>
          <w:tcPr>
            <w:tcW w:w="401" w:type="pct"/>
            <w:tcBorders>
              <w:top w:val="nil"/>
              <w:left w:val="nil"/>
              <w:bottom w:val="single" w:sz="4" w:space="0" w:color="auto"/>
              <w:right w:val="single" w:sz="4" w:space="0" w:color="auto"/>
            </w:tcBorders>
            <w:shd w:val="clear" w:color="000000" w:fill="auto"/>
            <w:vAlign w:val="center"/>
          </w:tcPr>
          <w:p w14:paraId="300E21D6"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8.66</w:t>
            </w:r>
          </w:p>
        </w:tc>
      </w:tr>
      <w:tr w:rsidR="00BD3166" w14:paraId="6CEB06BB" w14:textId="77777777">
        <w:trPr>
          <w:trHeight w:val="319"/>
          <w:jc w:val="center"/>
        </w:trPr>
        <w:tc>
          <w:tcPr>
            <w:tcW w:w="617" w:type="pct"/>
            <w:tcBorders>
              <w:top w:val="nil"/>
              <w:left w:val="single" w:sz="4" w:space="0" w:color="auto"/>
              <w:bottom w:val="single" w:sz="4" w:space="0" w:color="auto"/>
              <w:right w:val="single" w:sz="4" w:space="0" w:color="auto"/>
            </w:tcBorders>
            <w:shd w:val="clear" w:color="000000" w:fill="auto"/>
            <w:vAlign w:val="center"/>
          </w:tcPr>
          <w:p w14:paraId="6D2A750A" w14:textId="77777777" w:rsidR="00BD3166" w:rsidRPr="00E367D8" w:rsidRDefault="00C64679">
            <w:pPr>
              <w:pStyle w:val="zw"/>
              <w:snapToGrid w:val="0"/>
              <w:spacing w:line="240" w:lineRule="auto"/>
              <w:ind w:firstLine="0"/>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300689.SZ</w:t>
            </w:r>
          </w:p>
        </w:tc>
        <w:tc>
          <w:tcPr>
            <w:tcW w:w="345" w:type="pct"/>
            <w:tcBorders>
              <w:top w:val="nil"/>
              <w:left w:val="nil"/>
              <w:bottom w:val="single" w:sz="4" w:space="0" w:color="auto"/>
              <w:right w:val="single" w:sz="4" w:space="0" w:color="auto"/>
            </w:tcBorders>
            <w:shd w:val="clear" w:color="000000" w:fill="auto"/>
            <w:vAlign w:val="center"/>
          </w:tcPr>
          <w:p w14:paraId="10D900FD" w14:textId="77777777" w:rsidR="00BD3166" w:rsidRPr="00E367D8" w:rsidRDefault="00C64679">
            <w:pPr>
              <w:pStyle w:val="zw"/>
              <w:snapToGrid w:val="0"/>
              <w:spacing w:line="240" w:lineRule="auto"/>
              <w:ind w:firstLine="0"/>
              <w:rPr>
                <w:rFonts w:ascii="Times New Roman" w:eastAsia="宋体" w:hAnsi="Times New Roman" w:cs="Times New Roman"/>
                <w:w w:val="90"/>
                <w:sz w:val="18"/>
                <w:szCs w:val="18"/>
              </w:rPr>
            </w:pPr>
            <w:proofErr w:type="gramStart"/>
            <w:r w:rsidRPr="00E367D8">
              <w:rPr>
                <w:rFonts w:ascii="Times New Roman" w:eastAsia="宋体" w:hAnsi="Times New Roman" w:cs="Times New Roman" w:hint="eastAsia"/>
                <w:w w:val="90"/>
                <w:sz w:val="18"/>
                <w:szCs w:val="18"/>
              </w:rPr>
              <w:t>澄天伟业</w:t>
            </w:r>
            <w:proofErr w:type="gramEnd"/>
          </w:p>
        </w:tc>
        <w:tc>
          <w:tcPr>
            <w:tcW w:w="359" w:type="pct"/>
            <w:tcBorders>
              <w:top w:val="nil"/>
              <w:left w:val="nil"/>
              <w:bottom w:val="single" w:sz="4" w:space="0" w:color="auto"/>
              <w:right w:val="single" w:sz="4" w:space="0" w:color="auto"/>
            </w:tcBorders>
            <w:shd w:val="clear" w:color="000000" w:fill="auto"/>
            <w:vAlign w:val="center"/>
          </w:tcPr>
          <w:p w14:paraId="7007A33A"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3.84</w:t>
            </w:r>
          </w:p>
        </w:tc>
        <w:tc>
          <w:tcPr>
            <w:tcW w:w="408" w:type="pct"/>
            <w:tcBorders>
              <w:top w:val="nil"/>
              <w:left w:val="nil"/>
              <w:bottom w:val="single" w:sz="4" w:space="0" w:color="auto"/>
              <w:right w:val="single" w:sz="4" w:space="0" w:color="auto"/>
            </w:tcBorders>
            <w:shd w:val="clear" w:color="000000" w:fill="auto"/>
            <w:vAlign w:val="center"/>
          </w:tcPr>
          <w:p w14:paraId="700DE68C"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3.66</w:t>
            </w:r>
          </w:p>
        </w:tc>
        <w:tc>
          <w:tcPr>
            <w:tcW w:w="412" w:type="pct"/>
            <w:tcBorders>
              <w:top w:val="nil"/>
              <w:left w:val="nil"/>
              <w:bottom w:val="single" w:sz="4" w:space="0" w:color="auto"/>
              <w:right w:val="single" w:sz="4" w:space="0" w:color="auto"/>
            </w:tcBorders>
            <w:shd w:val="clear" w:color="000000" w:fill="auto"/>
            <w:vAlign w:val="center"/>
          </w:tcPr>
          <w:p w14:paraId="60527A13"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7.74</w:t>
            </w:r>
          </w:p>
        </w:tc>
        <w:tc>
          <w:tcPr>
            <w:tcW w:w="375" w:type="pct"/>
            <w:tcBorders>
              <w:top w:val="nil"/>
              <w:left w:val="nil"/>
              <w:bottom w:val="single" w:sz="4" w:space="0" w:color="auto"/>
              <w:right w:val="single" w:sz="4" w:space="0" w:color="auto"/>
            </w:tcBorders>
            <w:shd w:val="clear" w:color="000000" w:fill="auto"/>
            <w:vAlign w:val="center"/>
          </w:tcPr>
          <w:p w14:paraId="5722166C"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0.50</w:t>
            </w:r>
          </w:p>
        </w:tc>
        <w:tc>
          <w:tcPr>
            <w:tcW w:w="408" w:type="pct"/>
            <w:tcBorders>
              <w:top w:val="nil"/>
              <w:left w:val="nil"/>
              <w:bottom w:val="single" w:sz="4" w:space="0" w:color="auto"/>
              <w:right w:val="single" w:sz="4" w:space="0" w:color="auto"/>
            </w:tcBorders>
            <w:shd w:val="clear" w:color="000000" w:fill="auto"/>
            <w:vAlign w:val="center"/>
          </w:tcPr>
          <w:p w14:paraId="51C3202C"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3.71</w:t>
            </w:r>
          </w:p>
        </w:tc>
        <w:tc>
          <w:tcPr>
            <w:tcW w:w="408" w:type="pct"/>
            <w:tcBorders>
              <w:top w:val="nil"/>
              <w:left w:val="nil"/>
              <w:bottom w:val="single" w:sz="4" w:space="0" w:color="auto"/>
              <w:right w:val="single" w:sz="4" w:space="0" w:color="auto"/>
            </w:tcBorders>
            <w:shd w:val="clear" w:color="000000" w:fill="auto"/>
            <w:vAlign w:val="center"/>
          </w:tcPr>
          <w:p w14:paraId="45B62A40"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11.61</w:t>
            </w:r>
          </w:p>
        </w:tc>
        <w:tc>
          <w:tcPr>
            <w:tcW w:w="375" w:type="pct"/>
            <w:tcBorders>
              <w:top w:val="nil"/>
              <w:left w:val="nil"/>
              <w:bottom w:val="single" w:sz="4" w:space="0" w:color="auto"/>
              <w:right w:val="single" w:sz="4" w:space="0" w:color="auto"/>
            </w:tcBorders>
            <w:shd w:val="clear" w:color="000000" w:fill="auto"/>
            <w:vAlign w:val="center"/>
          </w:tcPr>
          <w:p w14:paraId="787FB329"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4.41</w:t>
            </w:r>
          </w:p>
        </w:tc>
        <w:tc>
          <w:tcPr>
            <w:tcW w:w="443" w:type="pct"/>
            <w:tcBorders>
              <w:top w:val="nil"/>
              <w:left w:val="nil"/>
              <w:bottom w:val="single" w:sz="4" w:space="0" w:color="auto"/>
              <w:right w:val="single" w:sz="4" w:space="0" w:color="auto"/>
            </w:tcBorders>
            <w:shd w:val="clear" w:color="000000" w:fill="auto"/>
            <w:vAlign w:val="center"/>
          </w:tcPr>
          <w:p w14:paraId="56092AE6"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-0.05</w:t>
            </w:r>
          </w:p>
        </w:tc>
        <w:tc>
          <w:tcPr>
            <w:tcW w:w="443" w:type="pct"/>
            <w:tcBorders>
              <w:top w:val="nil"/>
              <w:left w:val="nil"/>
              <w:bottom w:val="single" w:sz="4" w:space="0" w:color="auto"/>
              <w:right w:val="single" w:sz="4" w:space="0" w:color="auto"/>
            </w:tcBorders>
            <w:shd w:val="clear" w:color="000000" w:fill="auto"/>
            <w:vAlign w:val="center"/>
          </w:tcPr>
          <w:p w14:paraId="38BF8EE6"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-50.95</w:t>
            </w:r>
          </w:p>
        </w:tc>
        <w:tc>
          <w:tcPr>
            <w:tcW w:w="401" w:type="pct"/>
            <w:tcBorders>
              <w:top w:val="nil"/>
              <w:left w:val="nil"/>
              <w:bottom w:val="single" w:sz="4" w:space="0" w:color="auto"/>
              <w:right w:val="single" w:sz="4" w:space="0" w:color="auto"/>
            </w:tcBorders>
            <w:shd w:val="clear" w:color="000000" w:fill="auto"/>
            <w:vAlign w:val="center"/>
          </w:tcPr>
          <w:p w14:paraId="27D9E320"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-0.95</w:t>
            </w:r>
          </w:p>
        </w:tc>
      </w:tr>
      <w:tr w:rsidR="00BD3166" w14:paraId="6C384F1F" w14:textId="77777777">
        <w:trPr>
          <w:trHeight w:val="319"/>
          <w:jc w:val="center"/>
        </w:trPr>
        <w:tc>
          <w:tcPr>
            <w:tcW w:w="617" w:type="pct"/>
            <w:tcBorders>
              <w:top w:val="nil"/>
              <w:left w:val="single" w:sz="4" w:space="0" w:color="auto"/>
              <w:bottom w:val="single" w:sz="4" w:space="0" w:color="auto"/>
              <w:right w:val="single" w:sz="4" w:space="0" w:color="auto"/>
            </w:tcBorders>
            <w:shd w:val="clear" w:color="000000" w:fill="auto"/>
            <w:vAlign w:val="center"/>
          </w:tcPr>
          <w:p w14:paraId="0F6E3869" w14:textId="77777777" w:rsidR="00BD3166" w:rsidRPr="00E367D8" w:rsidRDefault="00C64679">
            <w:pPr>
              <w:pStyle w:val="zw"/>
              <w:snapToGrid w:val="0"/>
              <w:spacing w:line="240" w:lineRule="auto"/>
              <w:ind w:firstLine="0"/>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300458.SZ</w:t>
            </w:r>
          </w:p>
        </w:tc>
        <w:tc>
          <w:tcPr>
            <w:tcW w:w="345" w:type="pct"/>
            <w:tcBorders>
              <w:top w:val="nil"/>
              <w:left w:val="nil"/>
              <w:bottom w:val="single" w:sz="4" w:space="0" w:color="auto"/>
              <w:right w:val="single" w:sz="4" w:space="0" w:color="auto"/>
            </w:tcBorders>
            <w:shd w:val="clear" w:color="000000" w:fill="auto"/>
            <w:vAlign w:val="center"/>
          </w:tcPr>
          <w:p w14:paraId="1276CD05" w14:textId="77777777" w:rsidR="00BD3166" w:rsidRPr="00E367D8" w:rsidRDefault="00C64679">
            <w:pPr>
              <w:pStyle w:val="zw"/>
              <w:snapToGrid w:val="0"/>
              <w:spacing w:line="240" w:lineRule="auto"/>
              <w:ind w:firstLine="0"/>
              <w:rPr>
                <w:rFonts w:ascii="Times New Roman" w:eastAsia="宋体" w:hAnsi="Times New Roman" w:cs="Times New Roman"/>
                <w:w w:val="90"/>
                <w:sz w:val="18"/>
                <w:szCs w:val="18"/>
              </w:rPr>
            </w:pPr>
            <w:r w:rsidRPr="00E367D8">
              <w:rPr>
                <w:rFonts w:ascii="Times New Roman" w:eastAsia="宋体" w:hAnsi="Times New Roman" w:cs="Times New Roman" w:hint="eastAsia"/>
                <w:w w:val="90"/>
                <w:sz w:val="18"/>
                <w:szCs w:val="18"/>
              </w:rPr>
              <w:t>全志科技</w:t>
            </w:r>
          </w:p>
        </w:tc>
        <w:tc>
          <w:tcPr>
            <w:tcW w:w="359" w:type="pct"/>
            <w:tcBorders>
              <w:top w:val="nil"/>
              <w:left w:val="nil"/>
              <w:bottom w:val="single" w:sz="4" w:space="0" w:color="auto"/>
              <w:right w:val="single" w:sz="4" w:space="0" w:color="auto"/>
            </w:tcBorders>
            <w:shd w:val="clear" w:color="000000" w:fill="auto"/>
            <w:vAlign w:val="center"/>
          </w:tcPr>
          <w:p w14:paraId="72A3E71F"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8.74</w:t>
            </w:r>
          </w:p>
        </w:tc>
        <w:tc>
          <w:tcPr>
            <w:tcW w:w="408" w:type="pct"/>
            <w:tcBorders>
              <w:top w:val="nil"/>
              <w:left w:val="nil"/>
              <w:bottom w:val="single" w:sz="4" w:space="0" w:color="auto"/>
              <w:right w:val="single" w:sz="4" w:space="0" w:color="auto"/>
            </w:tcBorders>
            <w:shd w:val="clear" w:color="000000" w:fill="auto"/>
            <w:vAlign w:val="center"/>
          </w:tcPr>
          <w:p w14:paraId="14E673D8"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6.28</w:t>
            </w:r>
          </w:p>
        </w:tc>
        <w:tc>
          <w:tcPr>
            <w:tcW w:w="412" w:type="pct"/>
            <w:tcBorders>
              <w:top w:val="nil"/>
              <w:left w:val="nil"/>
              <w:bottom w:val="single" w:sz="4" w:space="0" w:color="auto"/>
              <w:right w:val="single" w:sz="4" w:space="0" w:color="auto"/>
            </w:tcBorders>
            <w:shd w:val="clear" w:color="000000" w:fill="auto"/>
            <w:vAlign w:val="center"/>
          </w:tcPr>
          <w:p w14:paraId="67F6E861"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14.11</w:t>
            </w:r>
          </w:p>
        </w:tc>
        <w:tc>
          <w:tcPr>
            <w:tcW w:w="375" w:type="pct"/>
            <w:tcBorders>
              <w:top w:val="nil"/>
              <w:left w:val="nil"/>
              <w:bottom w:val="single" w:sz="4" w:space="0" w:color="auto"/>
              <w:right w:val="single" w:sz="4" w:space="0" w:color="auto"/>
            </w:tcBorders>
            <w:shd w:val="clear" w:color="000000" w:fill="auto"/>
            <w:vAlign w:val="center"/>
          </w:tcPr>
          <w:p w14:paraId="063DB2F3"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0.57</w:t>
            </w:r>
          </w:p>
        </w:tc>
        <w:tc>
          <w:tcPr>
            <w:tcW w:w="408" w:type="pct"/>
            <w:tcBorders>
              <w:top w:val="nil"/>
              <w:left w:val="nil"/>
              <w:bottom w:val="single" w:sz="4" w:space="0" w:color="auto"/>
              <w:right w:val="single" w:sz="4" w:space="0" w:color="auto"/>
            </w:tcBorders>
            <w:shd w:val="clear" w:color="000000" w:fill="auto"/>
            <w:vAlign w:val="center"/>
          </w:tcPr>
          <w:p w14:paraId="0806C25D"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44.41</w:t>
            </w:r>
          </w:p>
        </w:tc>
        <w:tc>
          <w:tcPr>
            <w:tcW w:w="408" w:type="pct"/>
            <w:tcBorders>
              <w:top w:val="nil"/>
              <w:left w:val="nil"/>
              <w:bottom w:val="single" w:sz="4" w:space="0" w:color="auto"/>
              <w:right w:val="single" w:sz="4" w:space="0" w:color="auto"/>
            </w:tcBorders>
            <w:shd w:val="clear" w:color="000000" w:fill="auto"/>
            <w:vAlign w:val="center"/>
          </w:tcPr>
          <w:p w14:paraId="065B121A"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14.97</w:t>
            </w:r>
          </w:p>
        </w:tc>
        <w:tc>
          <w:tcPr>
            <w:tcW w:w="375" w:type="pct"/>
            <w:tcBorders>
              <w:top w:val="nil"/>
              <w:left w:val="nil"/>
              <w:bottom w:val="single" w:sz="4" w:space="0" w:color="auto"/>
              <w:right w:val="single" w:sz="4" w:space="0" w:color="auto"/>
            </w:tcBorders>
            <w:shd w:val="clear" w:color="000000" w:fill="auto"/>
            <w:vAlign w:val="center"/>
          </w:tcPr>
          <w:p w14:paraId="6ED21847"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5.04</w:t>
            </w:r>
          </w:p>
        </w:tc>
        <w:tc>
          <w:tcPr>
            <w:tcW w:w="443" w:type="pct"/>
            <w:tcBorders>
              <w:top w:val="nil"/>
              <w:left w:val="nil"/>
              <w:bottom w:val="single" w:sz="4" w:space="0" w:color="auto"/>
              <w:right w:val="single" w:sz="4" w:space="0" w:color="auto"/>
            </w:tcBorders>
            <w:shd w:val="clear" w:color="000000" w:fill="auto"/>
            <w:vAlign w:val="center"/>
          </w:tcPr>
          <w:p w14:paraId="0CFA5BC6"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2.88</w:t>
            </w:r>
          </w:p>
        </w:tc>
        <w:tc>
          <w:tcPr>
            <w:tcW w:w="443" w:type="pct"/>
            <w:tcBorders>
              <w:top w:val="nil"/>
              <w:left w:val="nil"/>
              <w:bottom w:val="single" w:sz="4" w:space="0" w:color="auto"/>
              <w:right w:val="single" w:sz="4" w:space="0" w:color="auto"/>
            </w:tcBorders>
            <w:shd w:val="clear" w:color="000000" w:fill="auto"/>
            <w:vAlign w:val="center"/>
          </w:tcPr>
          <w:p w14:paraId="7B9F77B1"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60.82</w:t>
            </w:r>
          </w:p>
        </w:tc>
        <w:tc>
          <w:tcPr>
            <w:tcW w:w="401" w:type="pct"/>
            <w:tcBorders>
              <w:top w:val="nil"/>
              <w:left w:val="nil"/>
              <w:bottom w:val="single" w:sz="4" w:space="0" w:color="auto"/>
              <w:right w:val="single" w:sz="4" w:space="0" w:color="auto"/>
            </w:tcBorders>
            <w:shd w:val="clear" w:color="000000" w:fill="auto"/>
            <w:vAlign w:val="center"/>
          </w:tcPr>
          <w:p w14:paraId="2FBFCD6B"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7.30</w:t>
            </w:r>
          </w:p>
        </w:tc>
      </w:tr>
      <w:tr w:rsidR="00BD3166" w14:paraId="5A5626B6" w14:textId="77777777">
        <w:trPr>
          <w:trHeight w:val="319"/>
          <w:jc w:val="center"/>
        </w:trPr>
        <w:tc>
          <w:tcPr>
            <w:tcW w:w="617" w:type="pct"/>
            <w:tcBorders>
              <w:top w:val="nil"/>
              <w:left w:val="single" w:sz="4" w:space="0" w:color="auto"/>
              <w:bottom w:val="single" w:sz="4" w:space="0" w:color="auto"/>
              <w:right w:val="single" w:sz="4" w:space="0" w:color="auto"/>
            </w:tcBorders>
            <w:shd w:val="clear" w:color="000000" w:fill="auto"/>
            <w:vAlign w:val="center"/>
          </w:tcPr>
          <w:p w14:paraId="47403C84" w14:textId="77777777" w:rsidR="00BD3166" w:rsidRPr="00E367D8" w:rsidRDefault="00C64679">
            <w:pPr>
              <w:pStyle w:val="zw"/>
              <w:snapToGrid w:val="0"/>
              <w:spacing w:line="240" w:lineRule="auto"/>
              <w:ind w:firstLine="0"/>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300327.SZ</w:t>
            </w:r>
          </w:p>
        </w:tc>
        <w:tc>
          <w:tcPr>
            <w:tcW w:w="345" w:type="pct"/>
            <w:tcBorders>
              <w:top w:val="nil"/>
              <w:left w:val="nil"/>
              <w:bottom w:val="single" w:sz="4" w:space="0" w:color="auto"/>
              <w:right w:val="single" w:sz="4" w:space="0" w:color="auto"/>
            </w:tcBorders>
            <w:shd w:val="clear" w:color="000000" w:fill="auto"/>
            <w:vAlign w:val="center"/>
          </w:tcPr>
          <w:p w14:paraId="065E6F4B" w14:textId="77777777" w:rsidR="00BD3166" w:rsidRPr="00E367D8" w:rsidRDefault="00C64679">
            <w:pPr>
              <w:pStyle w:val="zw"/>
              <w:snapToGrid w:val="0"/>
              <w:spacing w:line="240" w:lineRule="auto"/>
              <w:ind w:firstLine="0"/>
              <w:rPr>
                <w:rFonts w:ascii="Times New Roman" w:eastAsia="宋体" w:hAnsi="Times New Roman" w:cs="Times New Roman"/>
                <w:w w:val="90"/>
                <w:sz w:val="18"/>
                <w:szCs w:val="18"/>
              </w:rPr>
            </w:pPr>
            <w:proofErr w:type="gramStart"/>
            <w:r w:rsidRPr="00E367D8">
              <w:rPr>
                <w:rFonts w:ascii="Times New Roman" w:eastAsia="宋体" w:hAnsi="Times New Roman" w:cs="Times New Roman" w:hint="eastAsia"/>
                <w:w w:val="90"/>
                <w:sz w:val="18"/>
                <w:szCs w:val="18"/>
              </w:rPr>
              <w:t>中颖电子</w:t>
            </w:r>
            <w:proofErr w:type="gramEnd"/>
          </w:p>
        </w:tc>
        <w:tc>
          <w:tcPr>
            <w:tcW w:w="359" w:type="pct"/>
            <w:tcBorders>
              <w:top w:val="nil"/>
              <w:left w:val="nil"/>
              <w:bottom w:val="single" w:sz="4" w:space="0" w:color="auto"/>
              <w:right w:val="single" w:sz="4" w:space="0" w:color="auto"/>
            </w:tcBorders>
            <w:shd w:val="clear" w:color="000000" w:fill="auto"/>
            <w:vAlign w:val="center"/>
          </w:tcPr>
          <w:p w14:paraId="6FE053D4"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19.76</w:t>
            </w:r>
          </w:p>
        </w:tc>
        <w:tc>
          <w:tcPr>
            <w:tcW w:w="408" w:type="pct"/>
            <w:tcBorders>
              <w:top w:val="nil"/>
              <w:left w:val="nil"/>
              <w:bottom w:val="single" w:sz="4" w:space="0" w:color="auto"/>
              <w:right w:val="single" w:sz="4" w:space="0" w:color="auto"/>
            </w:tcBorders>
            <w:shd w:val="clear" w:color="000000" w:fill="auto"/>
            <w:vAlign w:val="center"/>
          </w:tcPr>
          <w:p w14:paraId="0BFCE614"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16.15</w:t>
            </w:r>
          </w:p>
        </w:tc>
        <w:tc>
          <w:tcPr>
            <w:tcW w:w="412" w:type="pct"/>
            <w:tcBorders>
              <w:top w:val="nil"/>
              <w:left w:val="nil"/>
              <w:bottom w:val="single" w:sz="4" w:space="0" w:color="auto"/>
              <w:right w:val="single" w:sz="4" w:space="0" w:color="auto"/>
            </w:tcBorders>
            <w:shd w:val="clear" w:color="000000" w:fill="auto"/>
            <w:vAlign w:val="center"/>
          </w:tcPr>
          <w:p w14:paraId="00133CB3"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21.50</w:t>
            </w:r>
          </w:p>
        </w:tc>
        <w:tc>
          <w:tcPr>
            <w:tcW w:w="375" w:type="pct"/>
            <w:tcBorders>
              <w:top w:val="nil"/>
              <w:left w:val="nil"/>
              <w:bottom w:val="single" w:sz="4" w:space="0" w:color="auto"/>
              <w:right w:val="single" w:sz="4" w:space="0" w:color="auto"/>
            </w:tcBorders>
            <w:shd w:val="clear" w:color="000000" w:fill="auto"/>
            <w:vAlign w:val="center"/>
          </w:tcPr>
          <w:p w14:paraId="7D0C51AD"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0.80</w:t>
            </w:r>
          </w:p>
        </w:tc>
        <w:tc>
          <w:tcPr>
            <w:tcW w:w="408" w:type="pct"/>
            <w:tcBorders>
              <w:top w:val="nil"/>
              <w:left w:val="nil"/>
              <w:bottom w:val="single" w:sz="4" w:space="0" w:color="auto"/>
              <w:right w:val="single" w:sz="4" w:space="0" w:color="auto"/>
            </w:tcBorders>
            <w:shd w:val="clear" w:color="000000" w:fill="auto"/>
            <w:vAlign w:val="center"/>
          </w:tcPr>
          <w:p w14:paraId="5CA651F5"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6.87</w:t>
            </w:r>
          </w:p>
        </w:tc>
        <w:tc>
          <w:tcPr>
            <w:tcW w:w="408" w:type="pct"/>
            <w:tcBorders>
              <w:top w:val="nil"/>
              <w:left w:val="nil"/>
              <w:bottom w:val="single" w:sz="4" w:space="0" w:color="auto"/>
              <w:right w:val="single" w:sz="4" w:space="0" w:color="auto"/>
            </w:tcBorders>
            <w:shd w:val="clear" w:color="000000" w:fill="auto"/>
            <w:vAlign w:val="center"/>
          </w:tcPr>
          <w:p w14:paraId="73A31212"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18.54</w:t>
            </w:r>
          </w:p>
        </w:tc>
        <w:tc>
          <w:tcPr>
            <w:tcW w:w="375" w:type="pct"/>
            <w:tcBorders>
              <w:top w:val="nil"/>
              <w:left w:val="nil"/>
              <w:bottom w:val="single" w:sz="4" w:space="0" w:color="auto"/>
              <w:right w:val="single" w:sz="4" w:space="0" w:color="auto"/>
            </w:tcBorders>
            <w:shd w:val="clear" w:color="000000" w:fill="auto"/>
            <w:vAlign w:val="center"/>
          </w:tcPr>
          <w:p w14:paraId="51F93639"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4.33</w:t>
            </w:r>
          </w:p>
        </w:tc>
        <w:tc>
          <w:tcPr>
            <w:tcW w:w="443" w:type="pct"/>
            <w:tcBorders>
              <w:top w:val="nil"/>
              <w:left w:val="nil"/>
              <w:bottom w:val="single" w:sz="4" w:space="0" w:color="auto"/>
              <w:right w:val="single" w:sz="4" w:space="0" w:color="auto"/>
            </w:tcBorders>
            <w:shd w:val="clear" w:color="000000" w:fill="auto"/>
            <w:vAlign w:val="center"/>
          </w:tcPr>
          <w:p w14:paraId="60A201F2"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21.35</w:t>
            </w:r>
          </w:p>
        </w:tc>
        <w:tc>
          <w:tcPr>
            <w:tcW w:w="443" w:type="pct"/>
            <w:tcBorders>
              <w:top w:val="nil"/>
              <w:left w:val="nil"/>
              <w:bottom w:val="single" w:sz="4" w:space="0" w:color="auto"/>
              <w:right w:val="single" w:sz="4" w:space="0" w:color="auto"/>
            </w:tcBorders>
            <w:shd w:val="clear" w:color="000000" w:fill="auto"/>
            <w:vAlign w:val="center"/>
          </w:tcPr>
          <w:p w14:paraId="42318791"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13.12</w:t>
            </w:r>
          </w:p>
        </w:tc>
        <w:tc>
          <w:tcPr>
            <w:tcW w:w="401" w:type="pct"/>
            <w:tcBorders>
              <w:top w:val="nil"/>
              <w:left w:val="nil"/>
              <w:bottom w:val="single" w:sz="4" w:space="0" w:color="auto"/>
              <w:right w:val="single" w:sz="4" w:space="0" w:color="auto"/>
            </w:tcBorders>
            <w:shd w:val="clear" w:color="000000" w:fill="auto"/>
            <w:vAlign w:val="center"/>
          </w:tcPr>
          <w:p w14:paraId="012A99AD"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10.10</w:t>
            </w:r>
          </w:p>
        </w:tc>
      </w:tr>
      <w:tr w:rsidR="00BD3166" w14:paraId="43E0C974" w14:textId="77777777">
        <w:trPr>
          <w:trHeight w:val="319"/>
          <w:jc w:val="center"/>
        </w:trPr>
        <w:tc>
          <w:tcPr>
            <w:tcW w:w="617" w:type="pct"/>
            <w:tcBorders>
              <w:top w:val="nil"/>
              <w:left w:val="single" w:sz="4" w:space="0" w:color="auto"/>
              <w:bottom w:val="single" w:sz="4" w:space="0" w:color="auto"/>
              <w:right w:val="single" w:sz="4" w:space="0" w:color="auto"/>
            </w:tcBorders>
            <w:shd w:val="clear" w:color="000000" w:fill="auto"/>
            <w:vAlign w:val="center"/>
          </w:tcPr>
          <w:p w14:paraId="3617FC0B" w14:textId="77777777" w:rsidR="00BD3166" w:rsidRPr="00E367D8" w:rsidRDefault="00C64679">
            <w:pPr>
              <w:pStyle w:val="zw"/>
              <w:snapToGrid w:val="0"/>
              <w:spacing w:line="240" w:lineRule="auto"/>
              <w:ind w:firstLine="0"/>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603160.SH</w:t>
            </w:r>
          </w:p>
        </w:tc>
        <w:tc>
          <w:tcPr>
            <w:tcW w:w="345" w:type="pct"/>
            <w:tcBorders>
              <w:top w:val="nil"/>
              <w:left w:val="nil"/>
              <w:bottom w:val="single" w:sz="4" w:space="0" w:color="auto"/>
              <w:right w:val="single" w:sz="4" w:space="0" w:color="auto"/>
            </w:tcBorders>
            <w:shd w:val="clear" w:color="000000" w:fill="auto"/>
            <w:vAlign w:val="center"/>
          </w:tcPr>
          <w:p w14:paraId="512D14D3" w14:textId="77777777" w:rsidR="00BD3166" w:rsidRPr="00E367D8" w:rsidRDefault="00C64679">
            <w:pPr>
              <w:pStyle w:val="zw"/>
              <w:snapToGrid w:val="0"/>
              <w:spacing w:line="240" w:lineRule="auto"/>
              <w:ind w:firstLine="0"/>
              <w:rPr>
                <w:rFonts w:ascii="Times New Roman" w:eastAsia="宋体" w:hAnsi="Times New Roman" w:cs="Times New Roman"/>
                <w:w w:val="90"/>
                <w:sz w:val="18"/>
                <w:szCs w:val="18"/>
              </w:rPr>
            </w:pPr>
            <w:proofErr w:type="gramStart"/>
            <w:r w:rsidRPr="00E367D8">
              <w:rPr>
                <w:rFonts w:ascii="Times New Roman" w:eastAsia="宋体" w:hAnsi="Times New Roman" w:cs="Times New Roman" w:hint="eastAsia"/>
                <w:w w:val="90"/>
                <w:sz w:val="18"/>
                <w:szCs w:val="18"/>
              </w:rPr>
              <w:t>汇顶科技</w:t>
            </w:r>
            <w:proofErr w:type="gramEnd"/>
          </w:p>
        </w:tc>
        <w:tc>
          <w:tcPr>
            <w:tcW w:w="359" w:type="pct"/>
            <w:tcBorders>
              <w:top w:val="nil"/>
              <w:left w:val="nil"/>
              <w:bottom w:val="single" w:sz="4" w:space="0" w:color="auto"/>
              <w:right w:val="single" w:sz="4" w:space="0" w:color="auto"/>
            </w:tcBorders>
            <w:shd w:val="clear" w:color="000000" w:fill="auto"/>
            <w:vAlign w:val="center"/>
          </w:tcPr>
          <w:p w14:paraId="4984D2E5"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20.64</w:t>
            </w:r>
          </w:p>
        </w:tc>
        <w:tc>
          <w:tcPr>
            <w:tcW w:w="408" w:type="pct"/>
            <w:tcBorders>
              <w:top w:val="nil"/>
              <w:left w:val="nil"/>
              <w:bottom w:val="single" w:sz="4" w:space="0" w:color="auto"/>
              <w:right w:val="single" w:sz="4" w:space="0" w:color="auto"/>
            </w:tcBorders>
            <w:shd w:val="clear" w:color="000000" w:fill="auto"/>
            <w:vAlign w:val="center"/>
          </w:tcPr>
          <w:p w14:paraId="079B78C8"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15.99</w:t>
            </w:r>
          </w:p>
        </w:tc>
        <w:tc>
          <w:tcPr>
            <w:tcW w:w="412" w:type="pct"/>
            <w:tcBorders>
              <w:top w:val="nil"/>
              <w:left w:val="nil"/>
              <w:bottom w:val="single" w:sz="4" w:space="0" w:color="auto"/>
              <w:right w:val="single" w:sz="4" w:space="0" w:color="auto"/>
            </w:tcBorders>
            <w:shd w:val="clear" w:color="000000" w:fill="auto"/>
            <w:vAlign w:val="center"/>
          </w:tcPr>
          <w:p w14:paraId="72753F1C"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24.57</w:t>
            </w:r>
          </w:p>
        </w:tc>
        <w:tc>
          <w:tcPr>
            <w:tcW w:w="375" w:type="pct"/>
            <w:tcBorders>
              <w:top w:val="nil"/>
              <w:left w:val="nil"/>
              <w:bottom w:val="single" w:sz="4" w:space="0" w:color="auto"/>
              <w:right w:val="single" w:sz="4" w:space="0" w:color="auto"/>
            </w:tcBorders>
            <w:shd w:val="clear" w:color="000000" w:fill="auto"/>
            <w:vAlign w:val="center"/>
          </w:tcPr>
          <w:p w14:paraId="170306B1"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0.75</w:t>
            </w:r>
          </w:p>
        </w:tc>
        <w:tc>
          <w:tcPr>
            <w:tcW w:w="408" w:type="pct"/>
            <w:tcBorders>
              <w:top w:val="nil"/>
              <w:left w:val="nil"/>
              <w:bottom w:val="single" w:sz="4" w:space="0" w:color="auto"/>
              <w:right w:val="single" w:sz="4" w:space="0" w:color="auto"/>
            </w:tcBorders>
            <w:shd w:val="clear" w:color="000000" w:fill="auto"/>
            <w:vAlign w:val="center"/>
          </w:tcPr>
          <w:p w14:paraId="6A246EF8"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10.86</w:t>
            </w:r>
          </w:p>
        </w:tc>
        <w:tc>
          <w:tcPr>
            <w:tcW w:w="408" w:type="pct"/>
            <w:tcBorders>
              <w:top w:val="nil"/>
              <w:left w:val="nil"/>
              <w:bottom w:val="single" w:sz="4" w:space="0" w:color="auto"/>
              <w:right w:val="single" w:sz="4" w:space="0" w:color="auto"/>
            </w:tcBorders>
            <w:shd w:val="clear" w:color="000000" w:fill="auto"/>
            <w:vAlign w:val="center"/>
          </w:tcPr>
          <w:p w14:paraId="12C2028D"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18.72</w:t>
            </w:r>
          </w:p>
        </w:tc>
        <w:tc>
          <w:tcPr>
            <w:tcW w:w="375" w:type="pct"/>
            <w:tcBorders>
              <w:top w:val="nil"/>
              <w:left w:val="nil"/>
              <w:bottom w:val="single" w:sz="4" w:space="0" w:color="auto"/>
              <w:right w:val="single" w:sz="4" w:space="0" w:color="auto"/>
            </w:tcBorders>
            <w:shd w:val="clear" w:color="000000" w:fill="auto"/>
            <w:vAlign w:val="center"/>
          </w:tcPr>
          <w:p w14:paraId="37E8A8A0"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3.32</w:t>
            </w:r>
          </w:p>
        </w:tc>
        <w:tc>
          <w:tcPr>
            <w:tcW w:w="443" w:type="pct"/>
            <w:tcBorders>
              <w:top w:val="nil"/>
              <w:left w:val="nil"/>
              <w:bottom w:val="single" w:sz="4" w:space="0" w:color="auto"/>
              <w:right w:val="single" w:sz="4" w:space="0" w:color="auto"/>
            </w:tcBorders>
            <w:shd w:val="clear" w:color="000000" w:fill="auto"/>
            <w:vAlign w:val="center"/>
          </w:tcPr>
          <w:p w14:paraId="7399CDF3"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3.31</w:t>
            </w:r>
          </w:p>
        </w:tc>
        <w:tc>
          <w:tcPr>
            <w:tcW w:w="443" w:type="pct"/>
            <w:tcBorders>
              <w:top w:val="nil"/>
              <w:left w:val="nil"/>
              <w:bottom w:val="single" w:sz="4" w:space="0" w:color="auto"/>
              <w:right w:val="single" w:sz="4" w:space="0" w:color="auto"/>
            </w:tcBorders>
            <w:shd w:val="clear" w:color="000000" w:fill="auto"/>
            <w:vAlign w:val="center"/>
          </w:tcPr>
          <w:p w14:paraId="6E7EDC95"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-34.99</w:t>
            </w:r>
          </w:p>
        </w:tc>
        <w:tc>
          <w:tcPr>
            <w:tcW w:w="401" w:type="pct"/>
            <w:tcBorders>
              <w:top w:val="nil"/>
              <w:left w:val="nil"/>
              <w:bottom w:val="single" w:sz="4" w:space="0" w:color="auto"/>
              <w:right w:val="single" w:sz="4" w:space="0" w:color="auto"/>
            </w:tcBorders>
            <w:shd w:val="clear" w:color="000000" w:fill="auto"/>
            <w:vAlign w:val="center"/>
          </w:tcPr>
          <w:p w14:paraId="13E14355" w14:textId="77777777" w:rsidR="00BD3166" w:rsidRPr="00E367D8" w:rsidRDefault="00C64679">
            <w:pPr>
              <w:pStyle w:val="zw"/>
              <w:snapToGrid w:val="0"/>
              <w:spacing w:line="240" w:lineRule="auto"/>
              <w:ind w:firstLine="0"/>
              <w:jc w:val="center"/>
              <w:rPr>
                <w:rFonts w:ascii="Times New Roman" w:eastAsia="宋体" w:hAnsi="Times New Roman" w:cs="Times New Roman"/>
                <w:w w:val="90"/>
                <w:sz w:val="18"/>
                <w:szCs w:val="18"/>
              </w:rPr>
            </w:pPr>
            <w:r w:rsidRPr="00E367D8">
              <w:rPr>
                <w:rFonts w:ascii="Times New Roman" w:eastAsia="宋体" w:hAnsi="Times New Roman" w:cs="Times New Roman"/>
                <w:w w:val="90"/>
                <w:sz w:val="18"/>
                <w:szCs w:val="18"/>
              </w:rPr>
              <w:t>25.98</w:t>
            </w:r>
          </w:p>
        </w:tc>
      </w:tr>
    </w:tbl>
    <w:p w14:paraId="219D3C1D" w14:textId="77777777" w:rsidR="00BD3166" w:rsidRDefault="00C64679" w:rsidP="00E367D8">
      <w:pPr>
        <w:pStyle w:val="zw"/>
        <w:snapToGrid w:val="0"/>
        <w:ind w:firstLine="0"/>
        <w:rPr>
          <w:rFonts w:ascii="Times New Roman" w:eastAsiaTheme="minorEastAsia" w:hAnsi="Times New Roman" w:cs="Times New Roman"/>
          <w:kern w:val="2"/>
          <w:szCs w:val="24"/>
        </w:rPr>
      </w:pPr>
      <w:r>
        <w:rPr>
          <w:rFonts w:ascii="宋体" w:eastAsia="宋体" w:hAnsi="宋体" w:cs="Arial Narrow" w:hint="eastAsia"/>
          <w:sz w:val="18"/>
          <w:szCs w:val="18"/>
        </w:rPr>
        <w:t>数据来源：Wind</w:t>
      </w:r>
    </w:p>
    <w:p w14:paraId="2817D743" w14:textId="20A48E84"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lastRenderedPageBreak/>
        <w:t>（</w:t>
      </w:r>
      <w:r>
        <w:rPr>
          <w:rFonts w:ascii="Times New Roman" w:eastAsiaTheme="minorEastAsia" w:hAnsi="Times New Roman" w:cs="Times New Roman"/>
          <w:kern w:val="2"/>
          <w:szCs w:val="24"/>
        </w:rPr>
        <w:t>1</w:t>
      </w:r>
      <w:r>
        <w:rPr>
          <w:rFonts w:ascii="Times New Roman" w:eastAsiaTheme="minorEastAsia" w:hAnsi="Times New Roman" w:cs="Times New Roman" w:hint="eastAsia"/>
          <w:kern w:val="2"/>
          <w:szCs w:val="24"/>
        </w:rPr>
        <w:t>）盈利能力差异说明</w:t>
      </w:r>
    </w:p>
    <w:p w14:paraId="35A9FE0E" w14:textId="77777777" w:rsidR="00BD3166" w:rsidRDefault="00C64679">
      <w:pPr>
        <w:pStyle w:val="zw"/>
        <w:snapToGrid w:val="0"/>
        <w:rPr>
          <w:rFonts w:ascii="Times New Roman" w:eastAsiaTheme="minorEastAsia" w:hAnsi="Times New Roman" w:cs="Times New Roman"/>
          <w:kern w:val="2"/>
          <w:szCs w:val="24"/>
        </w:rPr>
      </w:pPr>
      <w:bookmarkStart w:id="17" w:name="_Hlk77408733"/>
      <w:r>
        <w:rPr>
          <w:rFonts w:ascii="Times New Roman" w:eastAsiaTheme="minorEastAsia" w:hAnsi="Times New Roman" w:cs="Times New Roman" w:hint="eastAsia"/>
          <w:kern w:val="2"/>
          <w:szCs w:val="24"/>
        </w:rPr>
        <w:t>净资产收益率</w:t>
      </w:r>
      <w:bookmarkEnd w:id="17"/>
      <w:r>
        <w:rPr>
          <w:rFonts w:ascii="Times New Roman" w:eastAsiaTheme="minorEastAsia" w:hAnsi="Times New Roman" w:cs="Times New Roman" w:hint="eastAsia"/>
          <w:kern w:val="2"/>
          <w:szCs w:val="24"/>
        </w:rPr>
        <w:t>方面，标的公司</w:t>
      </w:r>
      <w:bookmarkStart w:id="18" w:name="_Hlk77408786"/>
      <w:r>
        <w:rPr>
          <w:rFonts w:ascii="Times New Roman" w:eastAsiaTheme="minorEastAsia" w:hAnsi="Times New Roman" w:cs="Times New Roman" w:hint="eastAsia"/>
          <w:kern w:val="2"/>
          <w:szCs w:val="24"/>
        </w:rPr>
        <w:t>净资产收益率</w:t>
      </w:r>
      <w:bookmarkEnd w:id="18"/>
      <w:r>
        <w:rPr>
          <w:rFonts w:ascii="Times New Roman" w:eastAsiaTheme="minorEastAsia" w:hAnsi="Times New Roman" w:cs="Times New Roman" w:hint="eastAsia"/>
          <w:kern w:val="2"/>
          <w:szCs w:val="24"/>
        </w:rPr>
        <w:t>为</w:t>
      </w:r>
      <w:r>
        <w:rPr>
          <w:rFonts w:ascii="Times New Roman" w:eastAsiaTheme="minorEastAsia" w:hAnsi="Times New Roman" w:cs="Times New Roman" w:hint="eastAsia"/>
          <w:kern w:val="2"/>
          <w:szCs w:val="24"/>
        </w:rPr>
        <w:t>10.80%</w:t>
      </w:r>
      <w:r>
        <w:rPr>
          <w:rFonts w:ascii="Times New Roman" w:eastAsiaTheme="minorEastAsia" w:hAnsi="Times New Roman" w:cs="Times New Roman" w:hint="eastAsia"/>
          <w:kern w:val="2"/>
          <w:szCs w:val="24"/>
        </w:rPr>
        <w:t>，可比上市公司净资产收益率分别</w:t>
      </w:r>
      <w:proofErr w:type="gramStart"/>
      <w:r>
        <w:rPr>
          <w:rFonts w:ascii="Times New Roman" w:eastAsiaTheme="minorEastAsia" w:hAnsi="Times New Roman" w:cs="Times New Roman" w:hint="eastAsia"/>
          <w:kern w:val="2"/>
          <w:szCs w:val="24"/>
        </w:rPr>
        <w:t>为澄天</w:t>
      </w:r>
      <w:proofErr w:type="gramEnd"/>
      <w:r>
        <w:rPr>
          <w:rFonts w:ascii="Times New Roman" w:eastAsiaTheme="minorEastAsia" w:hAnsi="Times New Roman" w:cs="Times New Roman" w:hint="eastAsia"/>
          <w:kern w:val="2"/>
          <w:szCs w:val="24"/>
        </w:rPr>
        <w:t>伟业（</w:t>
      </w:r>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3.84%</w:t>
      </w:r>
      <w:r>
        <w:rPr>
          <w:rFonts w:ascii="Times New Roman" w:eastAsiaTheme="minorEastAsia" w:hAnsi="Times New Roman" w:cs="Times New Roman" w:hint="eastAsia"/>
          <w:kern w:val="2"/>
          <w:szCs w:val="24"/>
        </w:rPr>
        <w:t>、全志科技（</w:t>
      </w:r>
      <w:r>
        <w:rPr>
          <w:rFonts w:ascii="Times New Roman" w:eastAsiaTheme="minorEastAsia" w:hAnsi="Times New Roman" w:cs="Times New Roman" w:hint="eastAsia"/>
          <w:kern w:val="2"/>
          <w:szCs w:val="24"/>
        </w:rPr>
        <w:t>300458.SZ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8.74%</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300327.SZ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19.76%</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603160.SH</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20.64%</w:t>
      </w:r>
      <w:r>
        <w:rPr>
          <w:rFonts w:ascii="Times New Roman" w:eastAsiaTheme="minorEastAsia" w:hAnsi="Times New Roman" w:cs="Times New Roman" w:hint="eastAsia"/>
          <w:kern w:val="2"/>
          <w:szCs w:val="24"/>
        </w:rPr>
        <w:t>，标的公司与可比上市公司净资产收益率指标差异均在±</w:t>
      </w:r>
      <w:r>
        <w:rPr>
          <w:rFonts w:ascii="Times New Roman" w:eastAsiaTheme="minorEastAsia" w:hAnsi="Times New Roman" w:cs="Times New Roman" w:hint="eastAsia"/>
          <w:kern w:val="2"/>
          <w:szCs w:val="24"/>
        </w:rPr>
        <w:t>10%</w:t>
      </w:r>
      <w:r>
        <w:rPr>
          <w:rFonts w:ascii="Times New Roman" w:eastAsiaTheme="minorEastAsia" w:hAnsi="Times New Roman" w:cs="Times New Roman" w:hint="eastAsia"/>
          <w:kern w:val="2"/>
          <w:szCs w:val="24"/>
        </w:rPr>
        <w:t>以内，处于可比范围内。</w:t>
      </w:r>
    </w:p>
    <w:p w14:paraId="55843B52"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总资产报酬率方面，标的公司总资产报酬率为</w:t>
      </w:r>
      <w:r>
        <w:rPr>
          <w:rFonts w:ascii="Times New Roman" w:eastAsiaTheme="minorEastAsia" w:hAnsi="Times New Roman" w:cs="Times New Roman" w:hint="eastAsia"/>
          <w:kern w:val="2"/>
          <w:szCs w:val="24"/>
        </w:rPr>
        <w:t>5.73%</w:t>
      </w:r>
      <w:r>
        <w:rPr>
          <w:rFonts w:ascii="Times New Roman" w:eastAsiaTheme="minorEastAsia" w:hAnsi="Times New Roman" w:cs="Times New Roman" w:hint="eastAsia"/>
          <w:kern w:val="2"/>
          <w:szCs w:val="24"/>
        </w:rPr>
        <w:t>，可比上市公司总资产报酬率分别</w:t>
      </w:r>
      <w:proofErr w:type="gramStart"/>
      <w:r>
        <w:rPr>
          <w:rFonts w:ascii="Times New Roman" w:eastAsiaTheme="minorEastAsia" w:hAnsi="Times New Roman" w:cs="Times New Roman" w:hint="eastAsia"/>
          <w:kern w:val="2"/>
          <w:szCs w:val="24"/>
        </w:rPr>
        <w:t>为澄天</w:t>
      </w:r>
      <w:proofErr w:type="gramEnd"/>
      <w:r>
        <w:rPr>
          <w:rFonts w:ascii="Times New Roman" w:eastAsiaTheme="minorEastAsia" w:hAnsi="Times New Roman" w:cs="Times New Roman" w:hint="eastAsia"/>
          <w:kern w:val="2"/>
          <w:szCs w:val="24"/>
        </w:rPr>
        <w:t>伟业（</w:t>
      </w:r>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3.66%</w:t>
      </w:r>
      <w:r>
        <w:rPr>
          <w:rFonts w:ascii="Times New Roman" w:eastAsiaTheme="minorEastAsia" w:hAnsi="Times New Roman" w:cs="Times New Roman" w:hint="eastAsia"/>
          <w:kern w:val="2"/>
          <w:szCs w:val="24"/>
        </w:rPr>
        <w:t>、全志科技（</w:t>
      </w:r>
      <w:r>
        <w:rPr>
          <w:rFonts w:ascii="Times New Roman" w:eastAsiaTheme="minorEastAsia" w:hAnsi="Times New Roman" w:cs="Times New Roman" w:hint="eastAsia"/>
          <w:kern w:val="2"/>
          <w:szCs w:val="24"/>
        </w:rPr>
        <w:t>300458.SZ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6.28%</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300327.SZ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16.15%</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603160.SH</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15.99%</w:t>
      </w:r>
      <w:r>
        <w:rPr>
          <w:rFonts w:ascii="Times New Roman" w:eastAsiaTheme="minorEastAsia" w:hAnsi="Times New Roman" w:cs="Times New Roman" w:hint="eastAsia"/>
          <w:kern w:val="2"/>
          <w:szCs w:val="24"/>
        </w:rPr>
        <w:t>，标的公司与可比上市公司总资产报酬率指标差异均在±</w:t>
      </w:r>
      <w:r>
        <w:rPr>
          <w:rFonts w:ascii="Times New Roman" w:eastAsiaTheme="minorEastAsia" w:hAnsi="Times New Roman" w:cs="Times New Roman" w:hint="eastAsia"/>
          <w:kern w:val="2"/>
          <w:szCs w:val="24"/>
        </w:rPr>
        <w:t>10%</w:t>
      </w:r>
      <w:r>
        <w:rPr>
          <w:rFonts w:ascii="Times New Roman" w:eastAsiaTheme="minorEastAsia" w:hAnsi="Times New Roman" w:cs="Times New Roman" w:hint="eastAsia"/>
          <w:kern w:val="2"/>
          <w:szCs w:val="24"/>
        </w:rPr>
        <w:t>以内，处于可比范围内。</w:t>
      </w:r>
    </w:p>
    <w:p w14:paraId="4CE4A9A1"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销售</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营业</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利润率方面，标的公司</w:t>
      </w:r>
      <w:bookmarkStart w:id="19" w:name="_Hlk77410781"/>
      <w:r>
        <w:rPr>
          <w:rFonts w:ascii="Times New Roman" w:eastAsiaTheme="minorEastAsia" w:hAnsi="Times New Roman" w:cs="Times New Roman" w:hint="eastAsia"/>
          <w:kern w:val="2"/>
          <w:szCs w:val="24"/>
        </w:rPr>
        <w:t>销售</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营业</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利润率</w:t>
      </w:r>
      <w:bookmarkEnd w:id="19"/>
      <w:r>
        <w:rPr>
          <w:rFonts w:ascii="Times New Roman" w:eastAsiaTheme="minorEastAsia" w:hAnsi="Times New Roman" w:cs="Times New Roman" w:hint="eastAsia"/>
          <w:kern w:val="2"/>
          <w:szCs w:val="24"/>
        </w:rPr>
        <w:t>为</w:t>
      </w:r>
      <w:r>
        <w:rPr>
          <w:rFonts w:ascii="Times New Roman" w:eastAsiaTheme="minorEastAsia" w:hAnsi="Times New Roman" w:cs="Times New Roman" w:hint="eastAsia"/>
          <w:kern w:val="2"/>
          <w:szCs w:val="24"/>
        </w:rPr>
        <w:t>14.83%</w:t>
      </w:r>
      <w:r>
        <w:rPr>
          <w:rFonts w:ascii="Times New Roman" w:eastAsiaTheme="minorEastAsia" w:hAnsi="Times New Roman" w:cs="Times New Roman" w:hint="eastAsia"/>
          <w:kern w:val="2"/>
          <w:szCs w:val="24"/>
        </w:rPr>
        <w:t>，可比上市公司销售</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营业</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利润率分别</w:t>
      </w:r>
      <w:proofErr w:type="gramStart"/>
      <w:r>
        <w:rPr>
          <w:rFonts w:ascii="Times New Roman" w:eastAsiaTheme="minorEastAsia" w:hAnsi="Times New Roman" w:cs="Times New Roman" w:hint="eastAsia"/>
          <w:kern w:val="2"/>
          <w:szCs w:val="24"/>
        </w:rPr>
        <w:t>为澄天</w:t>
      </w:r>
      <w:proofErr w:type="gramEnd"/>
      <w:r>
        <w:rPr>
          <w:rFonts w:ascii="Times New Roman" w:eastAsiaTheme="minorEastAsia" w:hAnsi="Times New Roman" w:cs="Times New Roman" w:hint="eastAsia"/>
          <w:kern w:val="2"/>
          <w:szCs w:val="24"/>
        </w:rPr>
        <w:t>伟业（</w:t>
      </w:r>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7.74%</w:t>
      </w:r>
      <w:r>
        <w:rPr>
          <w:rFonts w:ascii="Times New Roman" w:eastAsiaTheme="minorEastAsia" w:hAnsi="Times New Roman" w:cs="Times New Roman" w:hint="eastAsia"/>
          <w:kern w:val="2"/>
          <w:szCs w:val="24"/>
        </w:rPr>
        <w:t>、全志科技（</w:t>
      </w:r>
      <w:r>
        <w:rPr>
          <w:rFonts w:ascii="Times New Roman" w:eastAsiaTheme="minorEastAsia" w:hAnsi="Times New Roman" w:cs="Times New Roman" w:hint="eastAsia"/>
          <w:kern w:val="2"/>
          <w:szCs w:val="24"/>
        </w:rPr>
        <w:t>300458.SZ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14.11%</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300327.SZ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21.50%</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603160.SH</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24.57%</w:t>
      </w:r>
      <w:r>
        <w:rPr>
          <w:rFonts w:ascii="Times New Roman" w:eastAsiaTheme="minorEastAsia" w:hAnsi="Times New Roman" w:cs="Times New Roman" w:hint="eastAsia"/>
          <w:kern w:val="2"/>
          <w:szCs w:val="24"/>
        </w:rPr>
        <w:t>，标的公司与可比上市公司销售</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营业</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利润率指标差异均在±</w:t>
      </w:r>
      <w:r>
        <w:rPr>
          <w:rFonts w:ascii="Times New Roman" w:eastAsiaTheme="minorEastAsia" w:hAnsi="Times New Roman" w:cs="Times New Roman" w:hint="eastAsia"/>
          <w:kern w:val="2"/>
          <w:szCs w:val="24"/>
        </w:rPr>
        <w:t>10%</w:t>
      </w:r>
      <w:r>
        <w:rPr>
          <w:rFonts w:ascii="Times New Roman" w:eastAsiaTheme="minorEastAsia" w:hAnsi="Times New Roman" w:cs="Times New Roman" w:hint="eastAsia"/>
          <w:kern w:val="2"/>
          <w:szCs w:val="24"/>
        </w:rPr>
        <w:t>以内，处于可比范围内。</w:t>
      </w:r>
    </w:p>
    <w:p w14:paraId="7B4C7474" w14:textId="36EF8380"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综上，标的公司与可比上市公司的净资产收益率、总资产报酬率及销售</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营业</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利润率指标差异都在±</w:t>
      </w:r>
      <w:r>
        <w:rPr>
          <w:rFonts w:ascii="Times New Roman" w:eastAsiaTheme="minorEastAsia" w:hAnsi="Times New Roman" w:cs="Times New Roman" w:hint="eastAsia"/>
          <w:kern w:val="2"/>
          <w:szCs w:val="24"/>
        </w:rPr>
        <w:t>10%</w:t>
      </w:r>
      <w:r>
        <w:rPr>
          <w:rFonts w:ascii="Times New Roman" w:eastAsiaTheme="minorEastAsia" w:hAnsi="Times New Roman" w:cs="Times New Roman" w:hint="eastAsia"/>
          <w:kern w:val="2"/>
          <w:szCs w:val="24"/>
        </w:rPr>
        <w:t>以内，均处于可比范围，标的公司与可比上市公司的盈利能力无重大差异。</w:t>
      </w:r>
    </w:p>
    <w:p w14:paraId="3F1C86B8" w14:textId="7CAEF0D5"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w:t>
      </w:r>
      <w:r>
        <w:rPr>
          <w:rFonts w:ascii="Times New Roman" w:eastAsiaTheme="minorEastAsia" w:hAnsi="Times New Roman" w:cs="Times New Roman"/>
          <w:kern w:val="2"/>
          <w:szCs w:val="24"/>
        </w:rPr>
        <w:t>2</w:t>
      </w:r>
      <w:r>
        <w:rPr>
          <w:rFonts w:ascii="Times New Roman" w:eastAsiaTheme="minorEastAsia" w:hAnsi="Times New Roman" w:cs="Times New Roman" w:hint="eastAsia"/>
          <w:kern w:val="2"/>
          <w:szCs w:val="24"/>
        </w:rPr>
        <w:t>）偿债能力差异说明</w:t>
      </w:r>
    </w:p>
    <w:p w14:paraId="44690EFE"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资产负债率方面，标的公司由于存在大量关联方往来，资产负债率约为</w:t>
      </w:r>
      <w:r>
        <w:rPr>
          <w:rFonts w:ascii="Times New Roman" w:eastAsiaTheme="minorEastAsia" w:hAnsi="Times New Roman" w:cs="Times New Roman" w:hint="eastAsia"/>
          <w:kern w:val="2"/>
          <w:szCs w:val="24"/>
        </w:rPr>
        <w:t>70.80%</w:t>
      </w:r>
      <w:r>
        <w:rPr>
          <w:rFonts w:ascii="Times New Roman" w:eastAsiaTheme="minorEastAsia" w:hAnsi="Times New Roman" w:cs="Times New Roman" w:hint="eastAsia"/>
          <w:kern w:val="2"/>
          <w:szCs w:val="24"/>
        </w:rPr>
        <w:t>。同行业上市公司资产负债率高于</w:t>
      </w:r>
      <w:r>
        <w:rPr>
          <w:rFonts w:ascii="Times New Roman" w:eastAsiaTheme="minorEastAsia" w:hAnsi="Times New Roman" w:cs="Times New Roman" w:hint="eastAsia"/>
          <w:kern w:val="2"/>
          <w:szCs w:val="24"/>
        </w:rPr>
        <w:t>50%</w:t>
      </w:r>
      <w:r>
        <w:rPr>
          <w:rFonts w:ascii="Times New Roman" w:eastAsiaTheme="minorEastAsia" w:hAnsi="Times New Roman" w:cs="Times New Roman" w:hint="eastAsia"/>
          <w:kern w:val="2"/>
          <w:szCs w:val="24"/>
        </w:rPr>
        <w:t>的为易联众（</w:t>
      </w:r>
      <w:r>
        <w:rPr>
          <w:rFonts w:ascii="Times New Roman" w:eastAsiaTheme="minorEastAsia" w:hAnsi="Times New Roman" w:cs="Times New Roman" w:hint="eastAsia"/>
          <w:kern w:val="2"/>
          <w:szCs w:val="24"/>
        </w:rPr>
        <w:t>300096.SZ</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天喻信息</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300205.SZ</w:t>
      </w:r>
      <w:r>
        <w:rPr>
          <w:rFonts w:ascii="Times New Roman" w:eastAsiaTheme="minorEastAsia" w:hAnsi="Times New Roman" w:cs="Times New Roman" w:hint="eastAsia"/>
          <w:kern w:val="2"/>
          <w:szCs w:val="24"/>
        </w:rPr>
        <w:t>），两家基准日市盈率均低于</w:t>
      </w:r>
      <w:r>
        <w:rPr>
          <w:rFonts w:ascii="Times New Roman" w:eastAsiaTheme="minorEastAsia" w:hAnsi="Times New Roman" w:cs="Times New Roman" w:hint="eastAsia"/>
          <w:kern w:val="2"/>
          <w:szCs w:val="24"/>
        </w:rPr>
        <w:t>-100</w:t>
      </w:r>
      <w:r>
        <w:rPr>
          <w:rFonts w:ascii="Times New Roman" w:eastAsiaTheme="minorEastAsia" w:hAnsi="Times New Roman" w:cs="Times New Roman" w:hint="eastAsia"/>
          <w:kern w:val="2"/>
          <w:szCs w:val="24"/>
        </w:rPr>
        <w:t>，指标存在异常，无可比性。可比上市公司资产负债率分别</w:t>
      </w:r>
      <w:proofErr w:type="gramStart"/>
      <w:r>
        <w:rPr>
          <w:rFonts w:ascii="Times New Roman" w:eastAsiaTheme="minorEastAsia" w:hAnsi="Times New Roman" w:cs="Times New Roman" w:hint="eastAsia"/>
          <w:kern w:val="2"/>
          <w:szCs w:val="24"/>
        </w:rPr>
        <w:t>为澄天</w:t>
      </w:r>
      <w:proofErr w:type="gramEnd"/>
      <w:r>
        <w:rPr>
          <w:rFonts w:ascii="Times New Roman" w:eastAsiaTheme="minorEastAsia" w:hAnsi="Times New Roman" w:cs="Times New Roman" w:hint="eastAsia"/>
          <w:kern w:val="2"/>
          <w:szCs w:val="24"/>
        </w:rPr>
        <w:t>伟业（</w:t>
      </w:r>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11.61%</w:t>
      </w:r>
      <w:r>
        <w:rPr>
          <w:rFonts w:ascii="Times New Roman" w:eastAsiaTheme="minorEastAsia" w:hAnsi="Times New Roman" w:cs="Times New Roman" w:hint="eastAsia"/>
          <w:kern w:val="2"/>
          <w:szCs w:val="24"/>
        </w:rPr>
        <w:t>、全志科技（</w:t>
      </w:r>
      <w:r>
        <w:rPr>
          <w:rFonts w:ascii="Times New Roman" w:eastAsiaTheme="minorEastAsia" w:hAnsi="Times New Roman" w:cs="Times New Roman" w:hint="eastAsia"/>
          <w:kern w:val="2"/>
          <w:szCs w:val="24"/>
        </w:rPr>
        <w:t>300458.SZ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14.97%</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300327.SZ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18.54%</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603160.SH</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18.72%</w:t>
      </w:r>
      <w:r>
        <w:rPr>
          <w:rFonts w:ascii="Times New Roman" w:eastAsiaTheme="minorEastAsia" w:hAnsi="Times New Roman" w:cs="Times New Roman" w:hint="eastAsia"/>
          <w:kern w:val="2"/>
          <w:szCs w:val="24"/>
        </w:rPr>
        <w:t>，平均值约为</w:t>
      </w:r>
      <w:r>
        <w:rPr>
          <w:rFonts w:ascii="Times New Roman" w:eastAsiaTheme="minorEastAsia" w:hAnsi="Times New Roman" w:cs="Times New Roman" w:hint="eastAsia"/>
          <w:kern w:val="2"/>
          <w:szCs w:val="24"/>
        </w:rPr>
        <w:t>16%</w:t>
      </w:r>
      <w:r>
        <w:rPr>
          <w:rFonts w:ascii="Times New Roman" w:eastAsiaTheme="minorEastAsia" w:hAnsi="Times New Roman" w:cs="Times New Roman" w:hint="eastAsia"/>
          <w:kern w:val="2"/>
          <w:szCs w:val="24"/>
        </w:rPr>
        <w:t>，各可比上市公司之间无重大差异，在同行业上市公司范围内与标的公司的资产负债</w:t>
      </w:r>
      <w:proofErr w:type="gramStart"/>
      <w:r>
        <w:rPr>
          <w:rFonts w:ascii="Times New Roman" w:eastAsiaTheme="minorEastAsia" w:hAnsi="Times New Roman" w:cs="Times New Roman" w:hint="eastAsia"/>
          <w:kern w:val="2"/>
          <w:szCs w:val="24"/>
        </w:rPr>
        <w:t>率具备</w:t>
      </w:r>
      <w:proofErr w:type="gramEnd"/>
      <w:r>
        <w:rPr>
          <w:rFonts w:ascii="Times New Roman" w:eastAsiaTheme="minorEastAsia" w:hAnsi="Times New Roman" w:cs="Times New Roman" w:hint="eastAsia"/>
          <w:kern w:val="2"/>
          <w:szCs w:val="24"/>
        </w:rPr>
        <w:t>可比性。</w:t>
      </w:r>
    </w:p>
    <w:p w14:paraId="0D71116D"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速动比率方面，由于标的公司资产负债率高达</w:t>
      </w:r>
      <w:r>
        <w:rPr>
          <w:rFonts w:ascii="Times New Roman" w:eastAsiaTheme="minorEastAsia" w:hAnsi="Times New Roman" w:cs="Times New Roman" w:hint="eastAsia"/>
          <w:kern w:val="2"/>
          <w:szCs w:val="24"/>
        </w:rPr>
        <w:t>70.80%</w:t>
      </w:r>
      <w:r>
        <w:rPr>
          <w:rFonts w:ascii="Times New Roman" w:eastAsiaTheme="minorEastAsia" w:hAnsi="Times New Roman" w:cs="Times New Roman" w:hint="eastAsia"/>
          <w:kern w:val="2"/>
          <w:szCs w:val="24"/>
        </w:rPr>
        <w:t>，导致速动比率仅为</w:t>
      </w:r>
      <w:r>
        <w:rPr>
          <w:rFonts w:ascii="Times New Roman" w:eastAsiaTheme="minorEastAsia" w:hAnsi="Times New Roman" w:cs="Times New Roman" w:hint="eastAsia"/>
          <w:kern w:val="2"/>
          <w:szCs w:val="24"/>
        </w:rPr>
        <w:t>1.55</w:t>
      </w:r>
      <w:r>
        <w:rPr>
          <w:rFonts w:ascii="Times New Roman" w:eastAsiaTheme="minorEastAsia" w:hAnsi="Times New Roman" w:cs="Times New Roman" w:hint="eastAsia"/>
          <w:kern w:val="2"/>
          <w:szCs w:val="24"/>
        </w:rPr>
        <w:t>。同行业上市公司速动比率低于</w:t>
      </w:r>
      <w:r>
        <w:rPr>
          <w:rFonts w:ascii="Times New Roman" w:eastAsiaTheme="minorEastAsia" w:hAnsi="Times New Roman" w:cs="Times New Roman" w:hint="eastAsia"/>
          <w:kern w:val="2"/>
          <w:szCs w:val="24"/>
        </w:rPr>
        <w:t>2</w:t>
      </w:r>
      <w:r>
        <w:rPr>
          <w:rFonts w:ascii="Times New Roman" w:eastAsiaTheme="minorEastAsia" w:hAnsi="Times New Roman" w:cs="Times New Roman" w:hint="eastAsia"/>
          <w:kern w:val="2"/>
          <w:szCs w:val="24"/>
        </w:rPr>
        <w:t>的公司有</w:t>
      </w:r>
      <w:r>
        <w:rPr>
          <w:rFonts w:ascii="Times New Roman" w:eastAsiaTheme="minorEastAsia" w:hAnsi="Times New Roman" w:cs="Times New Roman" w:hint="eastAsia"/>
          <w:kern w:val="2"/>
          <w:szCs w:val="24"/>
        </w:rPr>
        <w:t>6</w:t>
      </w:r>
      <w:r>
        <w:rPr>
          <w:rFonts w:ascii="Times New Roman" w:eastAsiaTheme="minorEastAsia" w:hAnsi="Times New Roman" w:cs="Times New Roman" w:hint="eastAsia"/>
          <w:kern w:val="2"/>
          <w:szCs w:val="24"/>
        </w:rPr>
        <w:t>家，其中</w:t>
      </w:r>
      <w:r>
        <w:rPr>
          <w:rFonts w:ascii="Times New Roman" w:eastAsiaTheme="minorEastAsia" w:hAnsi="Times New Roman" w:cs="Times New Roman" w:hint="eastAsia"/>
          <w:kern w:val="2"/>
          <w:szCs w:val="24"/>
        </w:rPr>
        <w:t>3</w:t>
      </w:r>
      <w:r>
        <w:rPr>
          <w:rFonts w:ascii="Times New Roman" w:eastAsiaTheme="minorEastAsia" w:hAnsi="Times New Roman" w:cs="Times New Roman" w:hint="eastAsia"/>
          <w:kern w:val="2"/>
          <w:szCs w:val="24"/>
        </w:rPr>
        <w:t>家市盈率为负予以剔除，另外</w:t>
      </w:r>
      <w:r>
        <w:rPr>
          <w:rFonts w:ascii="Times New Roman" w:eastAsiaTheme="minorEastAsia" w:hAnsi="Times New Roman" w:cs="Times New Roman" w:hint="eastAsia"/>
          <w:kern w:val="2"/>
          <w:szCs w:val="24"/>
        </w:rPr>
        <w:t>3</w:t>
      </w:r>
      <w:r>
        <w:rPr>
          <w:rFonts w:ascii="Times New Roman" w:eastAsiaTheme="minorEastAsia" w:hAnsi="Times New Roman" w:cs="Times New Roman" w:hint="eastAsia"/>
          <w:kern w:val="2"/>
          <w:szCs w:val="24"/>
        </w:rPr>
        <w:t>家因其他财务指标与可比公司差异过高而剔除，即这</w:t>
      </w:r>
      <w:r>
        <w:rPr>
          <w:rFonts w:ascii="Times New Roman" w:eastAsiaTheme="minorEastAsia" w:hAnsi="Times New Roman" w:cs="Times New Roman" w:hint="eastAsia"/>
          <w:kern w:val="2"/>
          <w:szCs w:val="24"/>
        </w:rPr>
        <w:t>6</w:t>
      </w:r>
      <w:r>
        <w:rPr>
          <w:rFonts w:ascii="Times New Roman" w:eastAsiaTheme="minorEastAsia" w:hAnsi="Times New Roman" w:cs="Times New Roman" w:hint="eastAsia"/>
          <w:kern w:val="2"/>
          <w:szCs w:val="24"/>
        </w:rPr>
        <w:t>家公司均无可比性。可比上市公司速动比率分别</w:t>
      </w:r>
      <w:proofErr w:type="gramStart"/>
      <w:r>
        <w:rPr>
          <w:rFonts w:ascii="Times New Roman" w:eastAsiaTheme="minorEastAsia" w:hAnsi="Times New Roman" w:cs="Times New Roman" w:hint="eastAsia"/>
          <w:kern w:val="2"/>
          <w:szCs w:val="24"/>
        </w:rPr>
        <w:t>为澄天</w:t>
      </w:r>
      <w:proofErr w:type="gramEnd"/>
      <w:r>
        <w:rPr>
          <w:rFonts w:ascii="Times New Roman" w:eastAsiaTheme="minorEastAsia" w:hAnsi="Times New Roman" w:cs="Times New Roman" w:hint="eastAsia"/>
          <w:kern w:val="2"/>
          <w:szCs w:val="24"/>
        </w:rPr>
        <w:t>伟业（</w:t>
      </w:r>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4.41</w:t>
      </w:r>
      <w:r>
        <w:rPr>
          <w:rFonts w:ascii="Times New Roman" w:eastAsiaTheme="minorEastAsia" w:hAnsi="Times New Roman" w:cs="Times New Roman" w:hint="eastAsia"/>
          <w:kern w:val="2"/>
          <w:szCs w:val="24"/>
        </w:rPr>
        <w:t>、全志科技（</w:t>
      </w:r>
      <w:r>
        <w:rPr>
          <w:rFonts w:ascii="Times New Roman" w:eastAsiaTheme="minorEastAsia" w:hAnsi="Times New Roman" w:cs="Times New Roman" w:hint="eastAsia"/>
          <w:kern w:val="2"/>
          <w:szCs w:val="24"/>
        </w:rPr>
        <w:t>300458.SZ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5.04</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300327.SZ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4.33</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603160.SH</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3.32</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lastRenderedPageBreak/>
        <w:t>平均值约为</w:t>
      </w:r>
      <w:r>
        <w:rPr>
          <w:rFonts w:ascii="Times New Roman" w:eastAsiaTheme="minorEastAsia" w:hAnsi="Times New Roman" w:cs="Times New Roman" w:hint="eastAsia"/>
          <w:kern w:val="2"/>
          <w:szCs w:val="24"/>
        </w:rPr>
        <w:t>4.27</w:t>
      </w:r>
      <w:r>
        <w:rPr>
          <w:rFonts w:ascii="Times New Roman" w:eastAsiaTheme="minorEastAsia" w:hAnsi="Times New Roman" w:cs="Times New Roman" w:hint="eastAsia"/>
          <w:kern w:val="2"/>
          <w:szCs w:val="24"/>
        </w:rPr>
        <w:t>，各可比上市公司之间无重大差异，在同行业上市公司范围内与标的公司的速动比率具备可比性。</w:t>
      </w:r>
    </w:p>
    <w:p w14:paraId="45B62C55" w14:textId="60D1AB76"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综合考虑可比公司业务相似性、财务指标整体接近程度及打分体系对偿债能力的调整幅度等因素，</w:t>
      </w:r>
      <w:proofErr w:type="gramStart"/>
      <w:r>
        <w:rPr>
          <w:rFonts w:ascii="Times New Roman" w:eastAsiaTheme="minorEastAsia" w:hAnsi="Times New Roman" w:cs="Times New Roman" w:hint="eastAsia"/>
          <w:kern w:val="2"/>
          <w:szCs w:val="24"/>
        </w:rPr>
        <w:t>选取澄天伟业</w:t>
      </w:r>
      <w:proofErr w:type="gramEnd"/>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等</w:t>
      </w:r>
      <w:r>
        <w:rPr>
          <w:rFonts w:ascii="Times New Roman" w:eastAsiaTheme="minorEastAsia" w:hAnsi="Times New Roman" w:cs="Times New Roman" w:hint="eastAsia"/>
          <w:kern w:val="2"/>
          <w:szCs w:val="24"/>
        </w:rPr>
        <w:t>4</w:t>
      </w:r>
      <w:r>
        <w:rPr>
          <w:rFonts w:ascii="Times New Roman" w:eastAsiaTheme="minorEastAsia" w:hAnsi="Times New Roman" w:cs="Times New Roman" w:hint="eastAsia"/>
          <w:kern w:val="2"/>
          <w:szCs w:val="24"/>
        </w:rPr>
        <w:t>家上市公司作为可比公司，在同行业上市公司范围内其偿债能力与标的公司具备可比性。</w:t>
      </w:r>
    </w:p>
    <w:p w14:paraId="78CF9962" w14:textId="66ABA861" w:rsidR="00BD3166" w:rsidRDefault="00C64679">
      <w:pPr>
        <w:pStyle w:val="zw"/>
        <w:snapToGrid w:val="0"/>
        <w:rPr>
          <w:rFonts w:ascii="Times New Roman" w:eastAsiaTheme="minorEastAsia" w:hAnsi="Times New Roman" w:cs="Times New Roman"/>
          <w:kern w:val="2"/>
          <w:szCs w:val="24"/>
        </w:rPr>
      </w:pPr>
      <w:bookmarkStart w:id="20" w:name="_Hlk75186762"/>
      <w:r>
        <w:rPr>
          <w:rFonts w:ascii="Times New Roman" w:eastAsiaTheme="minorEastAsia" w:hAnsi="Times New Roman" w:cs="Times New Roman" w:hint="eastAsia"/>
          <w:kern w:val="2"/>
          <w:szCs w:val="24"/>
        </w:rPr>
        <w:t>（</w:t>
      </w:r>
      <w:r>
        <w:rPr>
          <w:rFonts w:ascii="Times New Roman" w:eastAsiaTheme="minorEastAsia" w:hAnsi="Times New Roman" w:cs="Times New Roman"/>
          <w:kern w:val="2"/>
          <w:szCs w:val="24"/>
        </w:rPr>
        <w:t>3</w:t>
      </w:r>
      <w:r>
        <w:rPr>
          <w:rFonts w:ascii="Times New Roman" w:eastAsiaTheme="minorEastAsia" w:hAnsi="Times New Roman" w:cs="Times New Roman" w:hint="eastAsia"/>
          <w:kern w:val="2"/>
          <w:szCs w:val="24"/>
        </w:rPr>
        <w:t>）营运能力</w:t>
      </w:r>
      <w:bookmarkEnd w:id="20"/>
      <w:r>
        <w:rPr>
          <w:rFonts w:ascii="Times New Roman" w:eastAsiaTheme="minorEastAsia" w:hAnsi="Times New Roman" w:cs="Times New Roman" w:hint="eastAsia"/>
          <w:kern w:val="2"/>
          <w:szCs w:val="24"/>
        </w:rPr>
        <w:t>差异说明</w:t>
      </w:r>
    </w:p>
    <w:p w14:paraId="4F3C4301"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总资产周转率方面，标的公司总资产周转率为</w:t>
      </w:r>
      <w:r>
        <w:rPr>
          <w:rFonts w:ascii="Times New Roman" w:eastAsiaTheme="minorEastAsia" w:hAnsi="Times New Roman" w:cs="Times New Roman" w:hint="eastAsia"/>
          <w:kern w:val="2"/>
          <w:szCs w:val="24"/>
        </w:rPr>
        <w:t>0.28</w:t>
      </w:r>
      <w:r>
        <w:rPr>
          <w:rFonts w:ascii="Times New Roman" w:eastAsiaTheme="minorEastAsia" w:hAnsi="Times New Roman" w:cs="Times New Roman" w:hint="eastAsia"/>
          <w:kern w:val="2"/>
          <w:szCs w:val="24"/>
        </w:rPr>
        <w:t>，可比上市公司总资产周转率分别</w:t>
      </w:r>
      <w:proofErr w:type="gramStart"/>
      <w:r>
        <w:rPr>
          <w:rFonts w:ascii="Times New Roman" w:eastAsiaTheme="minorEastAsia" w:hAnsi="Times New Roman" w:cs="Times New Roman" w:hint="eastAsia"/>
          <w:kern w:val="2"/>
          <w:szCs w:val="24"/>
        </w:rPr>
        <w:t>为澄天</w:t>
      </w:r>
      <w:proofErr w:type="gramEnd"/>
      <w:r>
        <w:rPr>
          <w:rFonts w:ascii="Times New Roman" w:eastAsiaTheme="minorEastAsia" w:hAnsi="Times New Roman" w:cs="Times New Roman" w:hint="eastAsia"/>
          <w:kern w:val="2"/>
          <w:szCs w:val="24"/>
        </w:rPr>
        <w:t>伟业（</w:t>
      </w:r>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0.50</w:t>
      </w:r>
      <w:r>
        <w:rPr>
          <w:rFonts w:ascii="Times New Roman" w:eastAsiaTheme="minorEastAsia" w:hAnsi="Times New Roman" w:cs="Times New Roman" w:hint="eastAsia"/>
          <w:kern w:val="2"/>
          <w:szCs w:val="24"/>
        </w:rPr>
        <w:t>、全志科技（</w:t>
      </w:r>
      <w:r>
        <w:rPr>
          <w:rFonts w:ascii="Times New Roman" w:eastAsiaTheme="minorEastAsia" w:hAnsi="Times New Roman" w:cs="Times New Roman" w:hint="eastAsia"/>
          <w:kern w:val="2"/>
          <w:szCs w:val="24"/>
        </w:rPr>
        <w:t>300458.SZ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0.57</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300327.SZ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0.80</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603160.SH</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0.75</w:t>
      </w:r>
      <w:r>
        <w:rPr>
          <w:rFonts w:ascii="Times New Roman" w:eastAsiaTheme="minorEastAsia" w:hAnsi="Times New Roman" w:cs="Times New Roman" w:hint="eastAsia"/>
          <w:kern w:val="2"/>
          <w:szCs w:val="24"/>
        </w:rPr>
        <w:t>。标的公司与可比上市公司的总资产周转率无重大差异。</w:t>
      </w:r>
    </w:p>
    <w:p w14:paraId="55E367AF"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应收账款周转率方面，标的公司应收账款周转率为</w:t>
      </w:r>
      <w:r>
        <w:rPr>
          <w:rFonts w:ascii="Times New Roman" w:eastAsiaTheme="minorEastAsia" w:hAnsi="Times New Roman" w:cs="Times New Roman" w:hint="eastAsia"/>
          <w:kern w:val="2"/>
          <w:szCs w:val="24"/>
        </w:rPr>
        <w:t>3.67</w:t>
      </w:r>
      <w:r>
        <w:rPr>
          <w:rFonts w:ascii="Times New Roman" w:eastAsiaTheme="minorEastAsia" w:hAnsi="Times New Roman" w:cs="Times New Roman" w:hint="eastAsia"/>
          <w:kern w:val="2"/>
          <w:szCs w:val="24"/>
        </w:rPr>
        <w:t>，可比上市公司应收账款周转率分别</w:t>
      </w:r>
      <w:proofErr w:type="gramStart"/>
      <w:r>
        <w:rPr>
          <w:rFonts w:ascii="Times New Roman" w:eastAsiaTheme="minorEastAsia" w:hAnsi="Times New Roman" w:cs="Times New Roman" w:hint="eastAsia"/>
          <w:kern w:val="2"/>
          <w:szCs w:val="24"/>
        </w:rPr>
        <w:t>为澄天</w:t>
      </w:r>
      <w:proofErr w:type="gramEnd"/>
      <w:r>
        <w:rPr>
          <w:rFonts w:ascii="Times New Roman" w:eastAsiaTheme="minorEastAsia" w:hAnsi="Times New Roman" w:cs="Times New Roman" w:hint="eastAsia"/>
          <w:kern w:val="2"/>
          <w:szCs w:val="24"/>
        </w:rPr>
        <w:t>伟业（</w:t>
      </w:r>
      <w:r>
        <w:rPr>
          <w:rFonts w:ascii="Times New Roman" w:eastAsiaTheme="minorEastAsia" w:hAnsi="Times New Roman" w:cs="Times New Roman" w:hint="eastAsia"/>
          <w:kern w:val="2"/>
          <w:szCs w:val="24"/>
        </w:rPr>
        <w:t>300689.SZ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3.71</w:t>
      </w:r>
      <w:r>
        <w:rPr>
          <w:rFonts w:ascii="Times New Roman" w:eastAsiaTheme="minorEastAsia" w:hAnsi="Times New Roman" w:cs="Times New Roman" w:hint="eastAsia"/>
          <w:kern w:val="2"/>
          <w:szCs w:val="24"/>
        </w:rPr>
        <w:t>、全志科技（</w:t>
      </w:r>
      <w:r>
        <w:rPr>
          <w:rFonts w:ascii="Times New Roman" w:eastAsiaTheme="minorEastAsia" w:hAnsi="Times New Roman" w:cs="Times New Roman" w:hint="eastAsia"/>
          <w:kern w:val="2"/>
          <w:szCs w:val="24"/>
        </w:rPr>
        <w:t>300458.SZ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44.41</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中颖电子</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300327.SZ</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6.87</w:t>
      </w:r>
      <w:r>
        <w:rPr>
          <w:rFonts w:ascii="Times New Roman" w:eastAsiaTheme="minorEastAsia" w:hAnsi="Times New Roman" w:cs="Times New Roman" w:hint="eastAsia"/>
          <w:kern w:val="2"/>
          <w:szCs w:val="24"/>
        </w:rPr>
        <w:t>、</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603160.SH</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10.86</w:t>
      </w:r>
      <w:r>
        <w:rPr>
          <w:rFonts w:ascii="Times New Roman" w:eastAsiaTheme="minorEastAsia" w:hAnsi="Times New Roman" w:cs="Times New Roman" w:hint="eastAsia"/>
          <w:kern w:val="2"/>
          <w:szCs w:val="24"/>
        </w:rPr>
        <w:t>。由于经营模式等差异，全志科技应收账款周转率远超同行业上市公司平均水平。为此，评估过程中为全志科技设置了相应的调整系数以减小其应收账款周转率偏高的影响。除全志科技外，其他可比上市公司与标的公司的应收账款周转率无重大差异。</w:t>
      </w:r>
    </w:p>
    <w:p w14:paraId="100D9B1D" w14:textId="62677B43"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综上，标的公司与可比上市公司的营运能力整体不存在重大差异。</w:t>
      </w:r>
    </w:p>
    <w:p w14:paraId="750468A5" w14:textId="36F09401"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w:t>
      </w:r>
      <w:r>
        <w:rPr>
          <w:rFonts w:ascii="Times New Roman" w:eastAsiaTheme="minorEastAsia" w:hAnsi="Times New Roman" w:cs="Times New Roman"/>
          <w:kern w:val="2"/>
          <w:szCs w:val="24"/>
        </w:rPr>
        <w:t>4</w:t>
      </w:r>
      <w:r>
        <w:rPr>
          <w:rFonts w:ascii="Times New Roman" w:eastAsiaTheme="minorEastAsia" w:hAnsi="Times New Roman" w:cs="Times New Roman" w:hint="eastAsia"/>
          <w:kern w:val="2"/>
          <w:szCs w:val="24"/>
        </w:rPr>
        <w:t>）成长能力差异说明</w:t>
      </w:r>
    </w:p>
    <w:p w14:paraId="452F7C39"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销售</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营业</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增长率及销售</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营业</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利润增长率方面，同行业上市公司的经营模式、细分市场及产品构成均存在差异，随着近年来芯片设计、销售行业竞争格局变革，可比上市公司的以上指标存在分化趋势。为此，评估过程中严格按照评价标准值编制分级打分表，通过设置合理的调整系数以降低市场因素的影响。</w:t>
      </w:r>
    </w:p>
    <w:p w14:paraId="49BD8154" w14:textId="77777777"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总资产增长率方面，除</w:t>
      </w:r>
      <w:proofErr w:type="gramStart"/>
      <w:r>
        <w:rPr>
          <w:rFonts w:ascii="Times New Roman" w:eastAsiaTheme="minorEastAsia" w:hAnsi="Times New Roman" w:cs="Times New Roman" w:hint="eastAsia"/>
          <w:kern w:val="2"/>
          <w:szCs w:val="24"/>
        </w:rPr>
        <w:t>汇顶科技外</w:t>
      </w:r>
      <w:proofErr w:type="gramEnd"/>
      <w:r>
        <w:rPr>
          <w:rFonts w:ascii="Times New Roman" w:eastAsiaTheme="minorEastAsia" w:hAnsi="Times New Roman" w:cs="Times New Roman" w:hint="eastAsia"/>
          <w:kern w:val="2"/>
          <w:szCs w:val="24"/>
        </w:rPr>
        <w:t>，标的公司与其他可比上市公司差异都在±</w:t>
      </w:r>
      <w:r>
        <w:rPr>
          <w:rFonts w:ascii="Times New Roman" w:eastAsiaTheme="minorEastAsia" w:hAnsi="Times New Roman" w:cs="Times New Roman" w:hint="eastAsia"/>
          <w:kern w:val="2"/>
          <w:szCs w:val="24"/>
        </w:rPr>
        <w:t>10%</w:t>
      </w:r>
      <w:r>
        <w:rPr>
          <w:rFonts w:ascii="Times New Roman" w:eastAsiaTheme="minorEastAsia" w:hAnsi="Times New Roman" w:cs="Times New Roman" w:hint="eastAsia"/>
          <w:kern w:val="2"/>
          <w:szCs w:val="24"/>
        </w:rPr>
        <w:t>、不存在重大差异。评估过程中，对</w:t>
      </w:r>
      <w:proofErr w:type="gramStart"/>
      <w:r>
        <w:rPr>
          <w:rFonts w:ascii="Times New Roman" w:eastAsiaTheme="minorEastAsia" w:hAnsi="Times New Roman" w:cs="Times New Roman" w:hint="eastAsia"/>
          <w:kern w:val="2"/>
          <w:szCs w:val="24"/>
        </w:rPr>
        <w:t>汇顶科技</w:t>
      </w:r>
      <w:proofErr w:type="gramEnd"/>
      <w:r>
        <w:rPr>
          <w:rFonts w:ascii="Times New Roman" w:eastAsiaTheme="minorEastAsia" w:hAnsi="Times New Roman" w:cs="Times New Roman" w:hint="eastAsia"/>
          <w:kern w:val="2"/>
          <w:szCs w:val="24"/>
        </w:rPr>
        <w:t>设置了相应的调整系数以减少总资产增长率指标差异带来的影响。</w:t>
      </w:r>
    </w:p>
    <w:p w14:paraId="06175F91" w14:textId="466ABBF6"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综上，标的公司与可比上市公司在总资产增长率方面整体不存在重大差异。受近年市场竞争格局变革的影响，同行业上市公司的销售</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营业</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增长率、销售</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营业</w:t>
      </w:r>
      <w:r>
        <w:rPr>
          <w:rFonts w:ascii="Times New Roman" w:eastAsiaTheme="minorEastAsia" w:hAnsi="Times New Roman" w:cs="Times New Roman" w:hint="eastAsia"/>
          <w:kern w:val="2"/>
          <w:szCs w:val="24"/>
        </w:rPr>
        <w:t>)</w:t>
      </w:r>
      <w:r>
        <w:rPr>
          <w:rFonts w:ascii="Times New Roman" w:eastAsiaTheme="minorEastAsia" w:hAnsi="Times New Roman" w:cs="Times New Roman" w:hint="eastAsia"/>
          <w:kern w:val="2"/>
          <w:szCs w:val="24"/>
        </w:rPr>
        <w:t>利润增长率等中短期指标呈分化趋势，评估过程中按照评估方法设置了相应的调整系数以弱化该影响。</w:t>
      </w:r>
    </w:p>
    <w:p w14:paraId="49B9EE4E" w14:textId="770D7DBA" w:rsidR="00BD3166" w:rsidRDefault="00C64679">
      <w:pPr>
        <w:pStyle w:val="zw"/>
        <w:snapToGrid w:val="0"/>
        <w:rPr>
          <w:rFonts w:ascii="Times New Roman" w:eastAsiaTheme="minorEastAsia" w:hAnsi="Times New Roman" w:cs="Times New Roman"/>
          <w:kern w:val="2"/>
          <w:szCs w:val="24"/>
        </w:rPr>
      </w:pPr>
      <w:r>
        <w:rPr>
          <w:rFonts w:ascii="Times New Roman" w:eastAsiaTheme="minorEastAsia" w:hAnsi="Times New Roman" w:cs="Times New Roman" w:hint="eastAsia"/>
          <w:kern w:val="2"/>
          <w:szCs w:val="24"/>
        </w:rPr>
        <w:t>综上所述，</w:t>
      </w:r>
      <w:bookmarkStart w:id="21" w:name="_Hlk75186380"/>
      <w:r>
        <w:rPr>
          <w:rFonts w:ascii="Times New Roman" w:eastAsiaTheme="minorEastAsia" w:hAnsi="Times New Roman" w:cs="Times New Roman" w:hint="eastAsia"/>
          <w:kern w:val="2"/>
          <w:szCs w:val="24"/>
        </w:rPr>
        <w:t>标的公司与可比公司在主营业务、盈利能力及营运能力等方面不</w:t>
      </w:r>
      <w:r>
        <w:rPr>
          <w:rFonts w:ascii="Times New Roman" w:eastAsiaTheme="minorEastAsia" w:hAnsi="Times New Roman" w:cs="Times New Roman" w:hint="eastAsia"/>
          <w:kern w:val="2"/>
          <w:szCs w:val="24"/>
        </w:rPr>
        <w:lastRenderedPageBreak/>
        <w:t>存在重大差异；偿债能力、成长能力方面，在同行业上市公司范围内，选取的四家上市公司与标的公司具备可比性。可比公司的选取较为合理准确</w:t>
      </w:r>
      <w:bookmarkEnd w:id="21"/>
      <w:r>
        <w:rPr>
          <w:rFonts w:ascii="Times New Roman" w:eastAsiaTheme="minorEastAsia" w:hAnsi="Times New Roman" w:cs="Times New Roman" w:hint="eastAsia"/>
          <w:kern w:val="2"/>
          <w:szCs w:val="24"/>
        </w:rPr>
        <w:t>，具有可比性，评估过程及结果较为公允。</w:t>
      </w:r>
    </w:p>
    <w:p w14:paraId="7CF7FBC0" w14:textId="77777777" w:rsidR="00BD3166" w:rsidRDefault="00C64679">
      <w:pPr>
        <w:spacing w:line="360" w:lineRule="auto"/>
        <w:ind w:firstLineChars="200" w:firstLine="482"/>
        <w:outlineLvl w:val="2"/>
        <w:rPr>
          <w:rFonts w:ascii="宋体" w:eastAsia="宋体" w:hAnsi="宋体"/>
          <w:b/>
          <w:bCs/>
          <w:sz w:val="24"/>
          <w:szCs w:val="28"/>
        </w:rPr>
      </w:pPr>
      <w:r>
        <w:rPr>
          <w:rFonts w:ascii="宋体" w:eastAsia="宋体" w:hAnsi="宋体" w:hint="eastAsia"/>
          <w:b/>
          <w:bCs/>
          <w:sz w:val="24"/>
          <w:szCs w:val="28"/>
        </w:rPr>
        <w:t>（二）评估过程及结果是否公允</w:t>
      </w:r>
    </w:p>
    <w:p w14:paraId="5081F7A6" w14:textId="77777777" w:rsidR="00BD3166" w:rsidRDefault="00C64679">
      <w:pPr>
        <w:pStyle w:val="zw"/>
        <w:snapToGrid w:val="0"/>
        <w:rPr>
          <w:rFonts w:eastAsia="宋体" w:cs="Arial Narrow"/>
        </w:rPr>
      </w:pPr>
      <w:r>
        <w:rPr>
          <w:rFonts w:eastAsia="宋体" w:cs="Arial Narrow" w:hint="eastAsia"/>
        </w:rPr>
        <w:t>本次评估主要从企业的盈利能力状况、资产质量状况、债务风险状况、经营增长状况等方面对评估对象与可比公司间的差异进行量化，具体量化对比思路如下：</w:t>
      </w:r>
      <w:r>
        <w:rPr>
          <w:rFonts w:eastAsia="宋体" w:cs="Arial Narrow" w:hint="eastAsia"/>
        </w:rPr>
        <w:t xml:space="preserve"> </w:t>
      </w:r>
    </w:p>
    <w:p w14:paraId="250681BC" w14:textId="77777777" w:rsidR="00BD3166" w:rsidRDefault="00C64679">
      <w:pPr>
        <w:pStyle w:val="zw"/>
        <w:snapToGrid w:val="0"/>
        <w:rPr>
          <w:rFonts w:ascii="Times New Roman" w:eastAsia="宋体" w:hAnsi="Times New Roman" w:cs="Times New Roman"/>
        </w:rPr>
      </w:pPr>
      <w:r>
        <w:rPr>
          <w:rFonts w:ascii="Times New Roman" w:eastAsia="微软雅黑" w:hAnsi="Times New Roman" w:cs="Times New Roman" w:hint="eastAsia"/>
        </w:rPr>
        <w:t>1</w:t>
      </w:r>
      <w:r>
        <w:rPr>
          <w:rFonts w:ascii="Times New Roman" w:eastAsia="微软雅黑" w:hAnsi="Times New Roman" w:cs="Times New Roman" w:hint="eastAsia"/>
        </w:rPr>
        <w:t>、</w:t>
      </w:r>
      <w:r>
        <w:rPr>
          <w:rFonts w:ascii="Times New Roman" w:eastAsia="宋体" w:hAnsi="Times New Roman" w:cs="Times New Roman" w:hint="eastAsia"/>
        </w:rPr>
        <w:t>选取盈利能力指标：净资产收益率</w:t>
      </w:r>
      <w:r>
        <w:rPr>
          <w:rFonts w:ascii="Times New Roman" w:eastAsia="宋体" w:hAnsi="Times New Roman" w:cs="Times New Roman" w:hint="eastAsia"/>
        </w:rPr>
        <w:t>(%)</w:t>
      </w:r>
      <w:r>
        <w:rPr>
          <w:rFonts w:ascii="Times New Roman" w:eastAsia="宋体" w:hAnsi="Times New Roman" w:cs="Times New Roman" w:hint="eastAsia"/>
        </w:rPr>
        <w:t>、总资产报酬率</w:t>
      </w:r>
      <w:r>
        <w:rPr>
          <w:rFonts w:ascii="Times New Roman" w:eastAsia="宋体" w:hAnsi="Times New Roman" w:cs="Times New Roman" w:hint="eastAsia"/>
        </w:rPr>
        <w:t>(%)</w:t>
      </w:r>
      <w:r>
        <w:rPr>
          <w:rFonts w:ascii="Times New Roman" w:eastAsia="宋体" w:hAnsi="Times New Roman" w:cs="Times New Roman" w:hint="eastAsia"/>
        </w:rPr>
        <w:t>、销售</w:t>
      </w:r>
      <w:r>
        <w:rPr>
          <w:rFonts w:ascii="Times New Roman" w:eastAsia="宋体" w:hAnsi="Times New Roman" w:cs="Times New Roman" w:hint="eastAsia"/>
        </w:rPr>
        <w:t>(</w:t>
      </w:r>
      <w:r>
        <w:rPr>
          <w:rFonts w:ascii="Times New Roman" w:eastAsia="宋体" w:hAnsi="Times New Roman" w:cs="Times New Roman" w:hint="eastAsia"/>
        </w:rPr>
        <w:t>营业</w:t>
      </w:r>
      <w:r>
        <w:rPr>
          <w:rFonts w:ascii="Times New Roman" w:eastAsia="宋体" w:hAnsi="Times New Roman" w:cs="Times New Roman" w:hint="eastAsia"/>
        </w:rPr>
        <w:t>)</w:t>
      </w:r>
      <w:r>
        <w:rPr>
          <w:rFonts w:ascii="Times New Roman" w:eastAsia="宋体" w:hAnsi="Times New Roman" w:cs="Times New Roman" w:hint="eastAsia"/>
        </w:rPr>
        <w:t>利润率</w:t>
      </w:r>
      <w:r>
        <w:rPr>
          <w:rFonts w:ascii="Times New Roman" w:eastAsia="宋体" w:hAnsi="Times New Roman" w:cs="Times New Roman" w:hint="eastAsia"/>
        </w:rPr>
        <w:t>(%)</w:t>
      </w:r>
      <w:r>
        <w:rPr>
          <w:rFonts w:ascii="Times New Roman" w:eastAsia="宋体" w:hAnsi="Times New Roman" w:cs="Times New Roman" w:hint="eastAsia"/>
        </w:rPr>
        <w:t>；资产质量指标：总资产周转率</w:t>
      </w:r>
      <w:r>
        <w:rPr>
          <w:rFonts w:ascii="Times New Roman" w:eastAsia="宋体" w:hAnsi="Times New Roman" w:cs="Times New Roman" w:hint="eastAsia"/>
        </w:rPr>
        <w:t>(</w:t>
      </w:r>
      <w:r>
        <w:rPr>
          <w:rFonts w:ascii="Times New Roman" w:eastAsia="宋体" w:hAnsi="Times New Roman" w:cs="Times New Roman" w:hint="eastAsia"/>
        </w:rPr>
        <w:t>次</w:t>
      </w:r>
      <w:r>
        <w:rPr>
          <w:rFonts w:ascii="Times New Roman" w:eastAsia="宋体" w:hAnsi="Times New Roman" w:cs="Times New Roman" w:hint="eastAsia"/>
        </w:rPr>
        <w:t>)</w:t>
      </w:r>
      <w:r>
        <w:rPr>
          <w:rFonts w:ascii="Times New Roman" w:eastAsia="宋体" w:hAnsi="Times New Roman" w:cs="Times New Roman" w:hint="eastAsia"/>
        </w:rPr>
        <w:t>、应收账款周转率</w:t>
      </w:r>
      <w:r>
        <w:rPr>
          <w:rFonts w:ascii="Times New Roman" w:eastAsia="宋体" w:hAnsi="Times New Roman" w:cs="Times New Roman" w:hint="eastAsia"/>
        </w:rPr>
        <w:t>(</w:t>
      </w:r>
      <w:r>
        <w:rPr>
          <w:rFonts w:ascii="Times New Roman" w:eastAsia="宋体" w:hAnsi="Times New Roman" w:cs="Times New Roman" w:hint="eastAsia"/>
        </w:rPr>
        <w:t>次</w:t>
      </w:r>
      <w:r>
        <w:rPr>
          <w:rFonts w:ascii="Times New Roman" w:eastAsia="宋体" w:hAnsi="Times New Roman" w:cs="Times New Roman" w:hint="eastAsia"/>
        </w:rPr>
        <w:t>)</w:t>
      </w:r>
      <w:r>
        <w:rPr>
          <w:rFonts w:ascii="Times New Roman" w:eastAsia="宋体" w:hAnsi="Times New Roman" w:cs="Times New Roman" w:hint="eastAsia"/>
        </w:rPr>
        <w:t>；债务风险指标：资产负债率</w:t>
      </w:r>
      <w:r>
        <w:rPr>
          <w:rFonts w:ascii="Times New Roman" w:eastAsia="宋体" w:hAnsi="Times New Roman" w:cs="Times New Roman" w:hint="eastAsia"/>
        </w:rPr>
        <w:t>(%)</w:t>
      </w:r>
      <w:r>
        <w:rPr>
          <w:rFonts w:ascii="Times New Roman" w:eastAsia="宋体" w:hAnsi="Times New Roman" w:cs="Times New Roman" w:hint="eastAsia"/>
        </w:rPr>
        <w:t>、速动比率</w:t>
      </w:r>
      <w:r>
        <w:rPr>
          <w:rFonts w:ascii="Times New Roman" w:eastAsia="宋体" w:hAnsi="Times New Roman" w:cs="Times New Roman" w:hint="eastAsia"/>
        </w:rPr>
        <w:t>(%)</w:t>
      </w:r>
      <w:r>
        <w:rPr>
          <w:rFonts w:ascii="Times New Roman" w:eastAsia="宋体" w:hAnsi="Times New Roman" w:cs="Times New Roman" w:hint="eastAsia"/>
        </w:rPr>
        <w:t>；经营增长指标：销售</w:t>
      </w:r>
      <w:r>
        <w:rPr>
          <w:rFonts w:ascii="Times New Roman" w:eastAsia="宋体" w:hAnsi="Times New Roman" w:cs="Times New Roman" w:hint="eastAsia"/>
        </w:rPr>
        <w:t>(</w:t>
      </w:r>
      <w:r>
        <w:rPr>
          <w:rFonts w:ascii="Times New Roman" w:eastAsia="宋体" w:hAnsi="Times New Roman" w:cs="Times New Roman" w:hint="eastAsia"/>
        </w:rPr>
        <w:t>营业</w:t>
      </w:r>
      <w:r>
        <w:rPr>
          <w:rFonts w:ascii="Times New Roman" w:eastAsia="宋体" w:hAnsi="Times New Roman" w:cs="Times New Roman" w:hint="eastAsia"/>
        </w:rPr>
        <w:t>)</w:t>
      </w:r>
      <w:r>
        <w:rPr>
          <w:rFonts w:ascii="Times New Roman" w:eastAsia="宋体" w:hAnsi="Times New Roman" w:cs="Times New Roman" w:hint="eastAsia"/>
        </w:rPr>
        <w:t>增长率</w:t>
      </w:r>
      <w:r>
        <w:rPr>
          <w:rFonts w:ascii="Times New Roman" w:eastAsia="宋体" w:hAnsi="Times New Roman" w:cs="Times New Roman" w:hint="eastAsia"/>
        </w:rPr>
        <w:t>(%)</w:t>
      </w:r>
      <w:r>
        <w:rPr>
          <w:rFonts w:ascii="Times New Roman" w:eastAsia="宋体" w:hAnsi="Times New Roman" w:cs="Times New Roman" w:hint="eastAsia"/>
        </w:rPr>
        <w:t>、销售</w:t>
      </w:r>
      <w:r>
        <w:rPr>
          <w:rFonts w:ascii="Times New Roman" w:eastAsia="宋体" w:hAnsi="Times New Roman" w:cs="Times New Roman" w:hint="eastAsia"/>
        </w:rPr>
        <w:t>(</w:t>
      </w:r>
      <w:r>
        <w:rPr>
          <w:rFonts w:ascii="Times New Roman" w:eastAsia="宋体" w:hAnsi="Times New Roman" w:cs="Times New Roman" w:hint="eastAsia"/>
        </w:rPr>
        <w:t>营业</w:t>
      </w:r>
      <w:r>
        <w:rPr>
          <w:rFonts w:ascii="Times New Roman" w:eastAsia="宋体" w:hAnsi="Times New Roman" w:cs="Times New Roman" w:hint="eastAsia"/>
        </w:rPr>
        <w:t>)</w:t>
      </w:r>
      <w:r>
        <w:rPr>
          <w:rFonts w:ascii="Times New Roman" w:eastAsia="宋体" w:hAnsi="Times New Roman" w:cs="Times New Roman" w:hint="eastAsia"/>
        </w:rPr>
        <w:t>利润增长率</w:t>
      </w:r>
      <w:r>
        <w:rPr>
          <w:rFonts w:ascii="Times New Roman" w:eastAsia="宋体" w:hAnsi="Times New Roman" w:cs="Times New Roman" w:hint="eastAsia"/>
        </w:rPr>
        <w:t>(%)</w:t>
      </w:r>
      <w:r>
        <w:rPr>
          <w:rFonts w:ascii="Times New Roman" w:eastAsia="宋体" w:hAnsi="Times New Roman" w:cs="Times New Roman" w:hint="eastAsia"/>
        </w:rPr>
        <w:t>、总资产增长率</w:t>
      </w:r>
      <w:r>
        <w:rPr>
          <w:rFonts w:ascii="Times New Roman" w:eastAsia="宋体" w:hAnsi="Times New Roman" w:cs="Times New Roman" w:hint="eastAsia"/>
        </w:rPr>
        <w:t>(%)</w:t>
      </w:r>
      <w:r>
        <w:rPr>
          <w:rFonts w:ascii="Times New Roman" w:eastAsia="宋体" w:hAnsi="Times New Roman" w:cs="Times New Roman" w:hint="eastAsia"/>
        </w:rPr>
        <w:t>，合计</w:t>
      </w:r>
      <w:r>
        <w:rPr>
          <w:rFonts w:ascii="Times New Roman" w:eastAsia="宋体" w:hAnsi="Times New Roman" w:cs="Times New Roman" w:hint="eastAsia"/>
        </w:rPr>
        <w:t xml:space="preserve"> 10</w:t>
      </w:r>
      <w:r>
        <w:rPr>
          <w:rFonts w:ascii="Times New Roman" w:eastAsia="宋体" w:hAnsi="Times New Roman" w:cs="Times New Roman" w:hint="eastAsia"/>
        </w:rPr>
        <w:t>个财务指标作为评价可比公司及被评估企业的因素。</w:t>
      </w:r>
      <w:r>
        <w:rPr>
          <w:rFonts w:ascii="Times New Roman" w:eastAsia="宋体" w:hAnsi="Times New Roman" w:cs="Times New Roman" w:hint="eastAsia"/>
        </w:rPr>
        <w:t xml:space="preserve"> </w:t>
      </w:r>
    </w:p>
    <w:p w14:paraId="05ABC864" w14:textId="77777777" w:rsidR="00BD3166" w:rsidRDefault="00C64679">
      <w:pPr>
        <w:pStyle w:val="zw"/>
        <w:snapToGrid w:val="0"/>
        <w:rPr>
          <w:rFonts w:eastAsia="宋体" w:cs="Arial Narrow"/>
        </w:rPr>
      </w:pPr>
      <w:r>
        <w:rPr>
          <w:rFonts w:eastAsia="宋体" w:cs="Arial Narrow" w:hint="eastAsia"/>
        </w:rPr>
        <w:t>经计算，评估对象与可比公司财务指标如下表：</w:t>
      </w:r>
    </w:p>
    <w:tbl>
      <w:tblPr>
        <w:tblW w:w="4998" w:type="pct"/>
        <w:jc w:val="center"/>
        <w:tblLook w:val="04A0" w:firstRow="1" w:lastRow="0" w:firstColumn="1" w:lastColumn="0" w:noHBand="0" w:noVBand="1"/>
      </w:tblPr>
      <w:tblGrid>
        <w:gridCol w:w="1032"/>
        <w:gridCol w:w="944"/>
        <w:gridCol w:w="621"/>
        <w:gridCol w:w="738"/>
        <w:gridCol w:w="670"/>
        <w:gridCol w:w="668"/>
        <w:gridCol w:w="621"/>
        <w:gridCol w:w="677"/>
        <w:gridCol w:w="531"/>
        <w:gridCol w:w="681"/>
        <w:gridCol w:w="715"/>
        <w:gridCol w:w="621"/>
      </w:tblGrid>
      <w:tr w:rsidR="00BD3166" w14:paraId="38524A83" w14:textId="77777777">
        <w:trPr>
          <w:trHeight w:val="285"/>
          <w:jc w:val="center"/>
        </w:trPr>
        <w:tc>
          <w:tcPr>
            <w:tcW w:w="11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3558F" w14:textId="77777777" w:rsidR="00BD3166" w:rsidRPr="00E367D8" w:rsidRDefault="00C64679">
            <w:pPr>
              <w:widowControl/>
              <w:jc w:val="center"/>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基本信息</w:t>
            </w:r>
          </w:p>
        </w:tc>
        <w:tc>
          <w:tcPr>
            <w:tcW w:w="1199" w:type="pct"/>
            <w:gridSpan w:val="3"/>
            <w:tcBorders>
              <w:top w:val="single" w:sz="4" w:space="0" w:color="auto"/>
              <w:left w:val="nil"/>
              <w:bottom w:val="single" w:sz="4" w:space="0" w:color="auto"/>
              <w:right w:val="single" w:sz="4" w:space="0" w:color="auto"/>
            </w:tcBorders>
            <w:shd w:val="clear" w:color="auto" w:fill="auto"/>
            <w:vAlign w:val="center"/>
          </w:tcPr>
          <w:p w14:paraId="0E660F64" w14:textId="6426FA1A" w:rsidR="00BD3166" w:rsidRPr="00E367D8" w:rsidRDefault="00C64679">
            <w:pPr>
              <w:widowControl/>
              <w:jc w:val="center"/>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盈利能力</w:t>
            </w:r>
          </w:p>
        </w:tc>
        <w:tc>
          <w:tcPr>
            <w:tcW w:w="767" w:type="pct"/>
            <w:gridSpan w:val="2"/>
            <w:tcBorders>
              <w:top w:val="single" w:sz="4" w:space="0" w:color="auto"/>
              <w:left w:val="nil"/>
              <w:bottom w:val="single" w:sz="4" w:space="0" w:color="auto"/>
              <w:right w:val="single" w:sz="4" w:space="0" w:color="auto"/>
            </w:tcBorders>
            <w:shd w:val="clear" w:color="auto" w:fill="auto"/>
            <w:vAlign w:val="center"/>
          </w:tcPr>
          <w:p w14:paraId="7C692AE5" w14:textId="4655AB96" w:rsidR="00BD3166" w:rsidRPr="00E367D8" w:rsidRDefault="00C64679">
            <w:pPr>
              <w:widowControl/>
              <w:jc w:val="center"/>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资产质量</w:t>
            </w:r>
          </w:p>
        </w:tc>
        <w:tc>
          <w:tcPr>
            <w:tcW w:w="722" w:type="pct"/>
            <w:gridSpan w:val="2"/>
            <w:tcBorders>
              <w:top w:val="single" w:sz="4" w:space="0" w:color="auto"/>
              <w:left w:val="nil"/>
              <w:bottom w:val="single" w:sz="4" w:space="0" w:color="auto"/>
              <w:right w:val="single" w:sz="4" w:space="0" w:color="auto"/>
            </w:tcBorders>
            <w:shd w:val="clear" w:color="auto" w:fill="auto"/>
            <w:vAlign w:val="center"/>
          </w:tcPr>
          <w:p w14:paraId="2679A2F6" w14:textId="4048B3D0" w:rsidR="00BD3166" w:rsidRPr="00E367D8" w:rsidRDefault="00C64679">
            <w:pPr>
              <w:widowControl/>
              <w:jc w:val="center"/>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债务风险</w:t>
            </w:r>
          </w:p>
        </w:tc>
        <w:tc>
          <w:tcPr>
            <w:tcW w:w="1180" w:type="pct"/>
            <w:gridSpan w:val="3"/>
            <w:tcBorders>
              <w:top w:val="single" w:sz="4" w:space="0" w:color="auto"/>
              <w:left w:val="nil"/>
              <w:bottom w:val="single" w:sz="4" w:space="0" w:color="auto"/>
              <w:right w:val="single" w:sz="4" w:space="0" w:color="auto"/>
            </w:tcBorders>
            <w:shd w:val="clear" w:color="auto" w:fill="auto"/>
            <w:vAlign w:val="center"/>
          </w:tcPr>
          <w:p w14:paraId="236D6F44" w14:textId="40271132" w:rsidR="00BD3166" w:rsidRPr="00E367D8" w:rsidRDefault="00C64679">
            <w:pPr>
              <w:widowControl/>
              <w:jc w:val="center"/>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经营增长</w:t>
            </w:r>
          </w:p>
        </w:tc>
      </w:tr>
      <w:tr w:rsidR="00BD3166" w14:paraId="71A496ED" w14:textId="77777777">
        <w:trPr>
          <w:trHeight w:val="540"/>
          <w:jc w:val="center"/>
        </w:trPr>
        <w:tc>
          <w:tcPr>
            <w:tcW w:w="565" w:type="pct"/>
            <w:tcBorders>
              <w:top w:val="nil"/>
              <w:left w:val="single" w:sz="4" w:space="0" w:color="auto"/>
              <w:bottom w:val="single" w:sz="4" w:space="0" w:color="auto"/>
              <w:right w:val="single" w:sz="4" w:space="0" w:color="auto"/>
            </w:tcBorders>
            <w:shd w:val="clear" w:color="auto" w:fill="auto"/>
            <w:vAlign w:val="center"/>
          </w:tcPr>
          <w:p w14:paraId="48015004" w14:textId="77777777" w:rsidR="00BD3166" w:rsidRPr="00E367D8" w:rsidRDefault="00C64679">
            <w:pPr>
              <w:widowControl/>
              <w:jc w:val="center"/>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证券代码</w:t>
            </w:r>
          </w:p>
        </w:tc>
        <w:tc>
          <w:tcPr>
            <w:tcW w:w="564" w:type="pct"/>
            <w:tcBorders>
              <w:top w:val="nil"/>
              <w:left w:val="nil"/>
              <w:bottom w:val="single" w:sz="4" w:space="0" w:color="auto"/>
              <w:right w:val="single" w:sz="4" w:space="0" w:color="auto"/>
            </w:tcBorders>
            <w:shd w:val="clear" w:color="auto" w:fill="auto"/>
            <w:vAlign w:val="center"/>
          </w:tcPr>
          <w:p w14:paraId="75678DC7" w14:textId="77777777" w:rsidR="00BD3166" w:rsidRPr="00E367D8" w:rsidRDefault="00C64679">
            <w:pPr>
              <w:widowControl/>
              <w:jc w:val="center"/>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证券简称</w:t>
            </w:r>
          </w:p>
        </w:tc>
        <w:tc>
          <w:tcPr>
            <w:tcW w:w="353" w:type="pct"/>
            <w:tcBorders>
              <w:top w:val="nil"/>
              <w:left w:val="nil"/>
              <w:bottom w:val="single" w:sz="4" w:space="0" w:color="auto"/>
              <w:right w:val="single" w:sz="4" w:space="0" w:color="auto"/>
            </w:tcBorders>
            <w:shd w:val="clear" w:color="auto" w:fill="auto"/>
            <w:vAlign w:val="center"/>
          </w:tcPr>
          <w:p w14:paraId="20B713D1" w14:textId="77777777" w:rsidR="00BD3166" w:rsidRPr="00E367D8" w:rsidRDefault="00C64679">
            <w:pPr>
              <w:widowControl/>
              <w:jc w:val="left"/>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净资产收益率</w:t>
            </w:r>
            <w:r w:rsidRPr="00E367D8">
              <w:rPr>
                <w:rFonts w:ascii="Times New Roman" w:hAnsi="Times New Roman" w:cs="Times New Roman"/>
                <w:b/>
                <w:bCs/>
                <w:kern w:val="0"/>
                <w:sz w:val="18"/>
                <w:szCs w:val="18"/>
              </w:rPr>
              <w:t>(%)</w:t>
            </w:r>
          </w:p>
        </w:tc>
        <w:tc>
          <w:tcPr>
            <w:tcW w:w="443" w:type="pct"/>
            <w:tcBorders>
              <w:top w:val="nil"/>
              <w:left w:val="nil"/>
              <w:bottom w:val="single" w:sz="4" w:space="0" w:color="auto"/>
              <w:right w:val="single" w:sz="4" w:space="0" w:color="auto"/>
            </w:tcBorders>
            <w:shd w:val="clear" w:color="auto" w:fill="auto"/>
            <w:vAlign w:val="center"/>
          </w:tcPr>
          <w:p w14:paraId="2A7FEA9B" w14:textId="77777777" w:rsidR="00BD3166" w:rsidRPr="00E367D8" w:rsidRDefault="00C64679">
            <w:pPr>
              <w:widowControl/>
              <w:jc w:val="left"/>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总资产报酬率</w:t>
            </w:r>
            <w:r w:rsidRPr="00E367D8">
              <w:rPr>
                <w:rFonts w:ascii="Times New Roman" w:hAnsi="Times New Roman" w:cs="Times New Roman"/>
                <w:b/>
                <w:bCs/>
                <w:kern w:val="0"/>
                <w:sz w:val="18"/>
                <w:szCs w:val="18"/>
              </w:rPr>
              <w:t>(%)</w:t>
            </w:r>
          </w:p>
        </w:tc>
        <w:tc>
          <w:tcPr>
            <w:tcW w:w="403" w:type="pct"/>
            <w:tcBorders>
              <w:top w:val="nil"/>
              <w:left w:val="nil"/>
              <w:bottom w:val="single" w:sz="4" w:space="0" w:color="auto"/>
              <w:right w:val="single" w:sz="4" w:space="0" w:color="auto"/>
            </w:tcBorders>
            <w:shd w:val="clear" w:color="auto" w:fill="auto"/>
            <w:vAlign w:val="center"/>
          </w:tcPr>
          <w:p w14:paraId="08580033" w14:textId="77777777" w:rsidR="00BD3166" w:rsidRPr="00E367D8" w:rsidRDefault="00C64679">
            <w:pPr>
              <w:widowControl/>
              <w:jc w:val="center"/>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销售</w:t>
            </w:r>
            <w:r w:rsidRPr="00E367D8">
              <w:rPr>
                <w:rFonts w:ascii="Times New Roman" w:hAnsi="Times New Roman" w:cs="Times New Roman"/>
                <w:b/>
                <w:bCs/>
                <w:kern w:val="0"/>
                <w:sz w:val="18"/>
                <w:szCs w:val="18"/>
              </w:rPr>
              <w:t>(</w:t>
            </w:r>
            <w:r w:rsidRPr="00E367D8">
              <w:rPr>
                <w:rFonts w:ascii="Times New Roman" w:hAnsi="Times New Roman" w:cs="Times New Roman" w:hint="eastAsia"/>
                <w:b/>
                <w:bCs/>
                <w:kern w:val="0"/>
                <w:sz w:val="18"/>
                <w:szCs w:val="18"/>
              </w:rPr>
              <w:t>营业</w:t>
            </w:r>
            <w:r w:rsidRPr="00E367D8">
              <w:rPr>
                <w:rFonts w:ascii="Times New Roman" w:hAnsi="Times New Roman" w:cs="Times New Roman"/>
                <w:b/>
                <w:bCs/>
                <w:kern w:val="0"/>
                <w:sz w:val="18"/>
                <w:szCs w:val="18"/>
              </w:rPr>
              <w:t>)</w:t>
            </w:r>
            <w:r w:rsidRPr="00E367D8">
              <w:rPr>
                <w:rFonts w:ascii="Times New Roman" w:hAnsi="Times New Roman" w:cs="Times New Roman" w:hint="eastAsia"/>
                <w:b/>
                <w:bCs/>
                <w:kern w:val="0"/>
                <w:sz w:val="18"/>
                <w:szCs w:val="18"/>
              </w:rPr>
              <w:t>利润率</w:t>
            </w:r>
            <w:r w:rsidRPr="00E367D8">
              <w:rPr>
                <w:rFonts w:ascii="Times New Roman" w:hAnsi="Times New Roman" w:cs="Times New Roman"/>
                <w:b/>
                <w:bCs/>
                <w:kern w:val="0"/>
                <w:sz w:val="18"/>
                <w:szCs w:val="18"/>
              </w:rPr>
              <w:t>(%)</w:t>
            </w:r>
          </w:p>
        </w:tc>
        <w:tc>
          <w:tcPr>
            <w:tcW w:w="402" w:type="pct"/>
            <w:tcBorders>
              <w:top w:val="nil"/>
              <w:left w:val="nil"/>
              <w:bottom w:val="single" w:sz="4" w:space="0" w:color="auto"/>
              <w:right w:val="single" w:sz="4" w:space="0" w:color="auto"/>
            </w:tcBorders>
            <w:shd w:val="clear" w:color="auto" w:fill="auto"/>
            <w:vAlign w:val="center"/>
          </w:tcPr>
          <w:p w14:paraId="330C475F" w14:textId="77777777" w:rsidR="00BD3166" w:rsidRPr="00E367D8" w:rsidRDefault="00C64679">
            <w:pPr>
              <w:widowControl/>
              <w:jc w:val="left"/>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总资产周转率</w:t>
            </w:r>
            <w:r w:rsidRPr="00E367D8">
              <w:rPr>
                <w:rFonts w:ascii="Times New Roman" w:hAnsi="Times New Roman" w:cs="Times New Roman"/>
                <w:b/>
                <w:bCs/>
                <w:kern w:val="0"/>
                <w:sz w:val="18"/>
                <w:szCs w:val="18"/>
              </w:rPr>
              <w:t>(</w:t>
            </w:r>
            <w:r w:rsidRPr="00E367D8">
              <w:rPr>
                <w:rFonts w:ascii="Times New Roman" w:hAnsi="Times New Roman" w:cs="Times New Roman" w:hint="eastAsia"/>
                <w:b/>
                <w:bCs/>
                <w:kern w:val="0"/>
                <w:sz w:val="18"/>
                <w:szCs w:val="18"/>
              </w:rPr>
              <w:t>次</w:t>
            </w:r>
            <w:r w:rsidRPr="00E367D8">
              <w:rPr>
                <w:rFonts w:ascii="Times New Roman" w:hAnsi="Times New Roman" w:cs="Times New Roman"/>
                <w:b/>
                <w:bCs/>
                <w:kern w:val="0"/>
                <w:sz w:val="18"/>
                <w:szCs w:val="18"/>
              </w:rPr>
              <w:t>)</w:t>
            </w:r>
          </w:p>
        </w:tc>
        <w:tc>
          <w:tcPr>
            <w:tcW w:w="365" w:type="pct"/>
            <w:tcBorders>
              <w:top w:val="nil"/>
              <w:left w:val="nil"/>
              <w:bottom w:val="single" w:sz="4" w:space="0" w:color="auto"/>
              <w:right w:val="single" w:sz="4" w:space="0" w:color="auto"/>
            </w:tcBorders>
            <w:shd w:val="clear" w:color="auto" w:fill="auto"/>
            <w:vAlign w:val="center"/>
          </w:tcPr>
          <w:p w14:paraId="791ACCBE" w14:textId="77777777" w:rsidR="00BD3166" w:rsidRPr="00E367D8" w:rsidRDefault="00C64679">
            <w:pPr>
              <w:widowControl/>
              <w:jc w:val="center"/>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应收账款周转率</w:t>
            </w:r>
            <w:r w:rsidRPr="00E367D8">
              <w:rPr>
                <w:rFonts w:ascii="Times New Roman" w:hAnsi="Times New Roman" w:cs="Times New Roman"/>
                <w:b/>
                <w:bCs/>
                <w:kern w:val="0"/>
                <w:sz w:val="18"/>
                <w:szCs w:val="18"/>
              </w:rPr>
              <w:t>(</w:t>
            </w:r>
            <w:r w:rsidRPr="00E367D8">
              <w:rPr>
                <w:rFonts w:ascii="Times New Roman" w:hAnsi="Times New Roman" w:cs="Times New Roman" w:hint="eastAsia"/>
                <w:b/>
                <w:bCs/>
                <w:kern w:val="0"/>
                <w:sz w:val="18"/>
                <w:szCs w:val="18"/>
              </w:rPr>
              <w:t>次</w:t>
            </w:r>
            <w:r w:rsidRPr="00E367D8">
              <w:rPr>
                <w:rFonts w:ascii="Times New Roman" w:hAnsi="Times New Roman" w:cs="Times New Roman"/>
                <w:b/>
                <w:bCs/>
                <w:kern w:val="0"/>
                <w:sz w:val="18"/>
                <w:szCs w:val="18"/>
              </w:rPr>
              <w:t>)</w:t>
            </w:r>
          </w:p>
        </w:tc>
        <w:tc>
          <w:tcPr>
            <w:tcW w:w="416" w:type="pct"/>
            <w:tcBorders>
              <w:top w:val="nil"/>
              <w:left w:val="nil"/>
              <w:bottom w:val="single" w:sz="4" w:space="0" w:color="auto"/>
              <w:right w:val="single" w:sz="4" w:space="0" w:color="auto"/>
            </w:tcBorders>
            <w:shd w:val="clear" w:color="auto" w:fill="auto"/>
            <w:vAlign w:val="center"/>
          </w:tcPr>
          <w:p w14:paraId="142D8EEF" w14:textId="77777777" w:rsidR="00BD3166" w:rsidRPr="00E367D8" w:rsidRDefault="00C64679">
            <w:pPr>
              <w:widowControl/>
              <w:jc w:val="left"/>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资产负债率</w:t>
            </w:r>
            <w:r w:rsidRPr="00E367D8">
              <w:rPr>
                <w:rFonts w:ascii="Times New Roman" w:hAnsi="Times New Roman" w:cs="Times New Roman"/>
                <w:b/>
                <w:bCs/>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14:paraId="32D12EAE" w14:textId="77777777" w:rsidR="00BD3166" w:rsidRPr="00E367D8" w:rsidRDefault="00C64679">
            <w:pPr>
              <w:widowControl/>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速动比率</w:t>
            </w:r>
          </w:p>
        </w:tc>
        <w:tc>
          <w:tcPr>
            <w:tcW w:w="381" w:type="pct"/>
            <w:tcBorders>
              <w:top w:val="nil"/>
              <w:left w:val="nil"/>
              <w:bottom w:val="single" w:sz="4" w:space="0" w:color="auto"/>
              <w:right w:val="single" w:sz="4" w:space="0" w:color="auto"/>
            </w:tcBorders>
            <w:shd w:val="clear" w:color="auto" w:fill="auto"/>
            <w:vAlign w:val="center"/>
          </w:tcPr>
          <w:p w14:paraId="1DF8AA78" w14:textId="77777777" w:rsidR="00BD3166" w:rsidRPr="00E367D8" w:rsidRDefault="00C64679">
            <w:pPr>
              <w:widowControl/>
              <w:jc w:val="left"/>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销售</w:t>
            </w:r>
            <w:r w:rsidRPr="00E367D8">
              <w:rPr>
                <w:rFonts w:ascii="Times New Roman" w:hAnsi="Times New Roman" w:cs="Times New Roman"/>
                <w:b/>
                <w:bCs/>
                <w:kern w:val="0"/>
                <w:sz w:val="18"/>
                <w:szCs w:val="18"/>
              </w:rPr>
              <w:t>(</w:t>
            </w:r>
            <w:r w:rsidRPr="00E367D8">
              <w:rPr>
                <w:rFonts w:ascii="Times New Roman" w:hAnsi="Times New Roman" w:cs="Times New Roman" w:hint="eastAsia"/>
                <w:b/>
                <w:bCs/>
                <w:kern w:val="0"/>
                <w:sz w:val="18"/>
                <w:szCs w:val="18"/>
              </w:rPr>
              <w:t>营业</w:t>
            </w:r>
            <w:r w:rsidRPr="00E367D8">
              <w:rPr>
                <w:rFonts w:ascii="Times New Roman" w:hAnsi="Times New Roman" w:cs="Times New Roman"/>
                <w:b/>
                <w:bCs/>
                <w:kern w:val="0"/>
                <w:sz w:val="18"/>
                <w:szCs w:val="18"/>
              </w:rPr>
              <w:t>)</w:t>
            </w:r>
            <w:r w:rsidRPr="00E367D8">
              <w:rPr>
                <w:rFonts w:ascii="Times New Roman" w:hAnsi="Times New Roman" w:cs="Times New Roman" w:hint="eastAsia"/>
                <w:b/>
                <w:bCs/>
                <w:kern w:val="0"/>
                <w:sz w:val="18"/>
                <w:szCs w:val="18"/>
              </w:rPr>
              <w:t>增长率</w:t>
            </w:r>
            <w:r w:rsidRPr="00E367D8">
              <w:rPr>
                <w:rFonts w:ascii="Times New Roman" w:hAnsi="Times New Roman" w:cs="Times New Roman"/>
                <w:b/>
                <w:bCs/>
                <w:kern w:val="0"/>
                <w:sz w:val="18"/>
                <w:szCs w:val="18"/>
              </w:rPr>
              <w:t>(%)</w:t>
            </w:r>
          </w:p>
        </w:tc>
        <w:tc>
          <w:tcPr>
            <w:tcW w:w="429" w:type="pct"/>
            <w:tcBorders>
              <w:top w:val="nil"/>
              <w:left w:val="nil"/>
              <w:bottom w:val="single" w:sz="4" w:space="0" w:color="auto"/>
              <w:right w:val="single" w:sz="4" w:space="0" w:color="auto"/>
            </w:tcBorders>
            <w:shd w:val="clear" w:color="auto" w:fill="auto"/>
            <w:vAlign w:val="center"/>
          </w:tcPr>
          <w:p w14:paraId="67B08E97" w14:textId="77777777" w:rsidR="00BD3166" w:rsidRPr="00E367D8" w:rsidRDefault="00C64679">
            <w:pPr>
              <w:widowControl/>
              <w:jc w:val="left"/>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销售</w:t>
            </w:r>
            <w:r w:rsidRPr="00E367D8">
              <w:rPr>
                <w:rFonts w:ascii="Times New Roman" w:hAnsi="Times New Roman" w:cs="Times New Roman"/>
                <w:b/>
                <w:bCs/>
                <w:kern w:val="0"/>
                <w:sz w:val="18"/>
                <w:szCs w:val="18"/>
              </w:rPr>
              <w:t>(</w:t>
            </w:r>
            <w:r w:rsidRPr="00E367D8">
              <w:rPr>
                <w:rFonts w:ascii="Times New Roman" w:hAnsi="Times New Roman" w:cs="Times New Roman" w:hint="eastAsia"/>
                <w:b/>
                <w:bCs/>
                <w:kern w:val="0"/>
                <w:sz w:val="18"/>
                <w:szCs w:val="18"/>
              </w:rPr>
              <w:t>营业</w:t>
            </w:r>
            <w:r w:rsidRPr="00E367D8">
              <w:rPr>
                <w:rFonts w:ascii="Times New Roman" w:hAnsi="Times New Roman" w:cs="Times New Roman"/>
                <w:b/>
                <w:bCs/>
                <w:kern w:val="0"/>
                <w:sz w:val="18"/>
                <w:szCs w:val="18"/>
              </w:rPr>
              <w:t>)</w:t>
            </w:r>
            <w:r w:rsidRPr="00E367D8">
              <w:rPr>
                <w:rFonts w:ascii="Times New Roman" w:hAnsi="Times New Roman" w:cs="Times New Roman" w:hint="eastAsia"/>
                <w:b/>
                <w:bCs/>
                <w:kern w:val="0"/>
                <w:sz w:val="18"/>
                <w:szCs w:val="18"/>
              </w:rPr>
              <w:t>利润增长率</w:t>
            </w:r>
            <w:r w:rsidRPr="00E367D8">
              <w:rPr>
                <w:rFonts w:ascii="Times New Roman" w:hAnsi="Times New Roman" w:cs="Times New Roman"/>
                <w:b/>
                <w:bCs/>
                <w:kern w:val="0"/>
                <w:sz w:val="18"/>
                <w:szCs w:val="18"/>
              </w:rPr>
              <w:t>(%)</w:t>
            </w:r>
          </w:p>
        </w:tc>
        <w:tc>
          <w:tcPr>
            <w:tcW w:w="362" w:type="pct"/>
            <w:tcBorders>
              <w:top w:val="nil"/>
              <w:left w:val="nil"/>
              <w:bottom w:val="single" w:sz="4" w:space="0" w:color="auto"/>
              <w:right w:val="single" w:sz="4" w:space="0" w:color="auto"/>
            </w:tcBorders>
            <w:shd w:val="clear" w:color="auto" w:fill="auto"/>
            <w:vAlign w:val="center"/>
          </w:tcPr>
          <w:p w14:paraId="7B5B1E41" w14:textId="77777777" w:rsidR="00BD3166" w:rsidRPr="00E367D8" w:rsidRDefault="00C64679">
            <w:pPr>
              <w:widowControl/>
              <w:jc w:val="left"/>
              <w:rPr>
                <w:rFonts w:ascii="Times New Roman" w:hAnsi="Times New Roman" w:cs="Times New Roman"/>
                <w:b/>
                <w:bCs/>
                <w:kern w:val="0"/>
                <w:sz w:val="18"/>
                <w:szCs w:val="18"/>
              </w:rPr>
            </w:pPr>
            <w:r w:rsidRPr="00E367D8">
              <w:rPr>
                <w:rFonts w:ascii="Times New Roman" w:hAnsi="Times New Roman" w:cs="Times New Roman" w:hint="eastAsia"/>
                <w:b/>
                <w:bCs/>
                <w:kern w:val="0"/>
                <w:sz w:val="18"/>
                <w:szCs w:val="18"/>
              </w:rPr>
              <w:t>总资产增长率</w:t>
            </w:r>
            <w:r w:rsidRPr="00E367D8">
              <w:rPr>
                <w:rFonts w:ascii="Times New Roman" w:hAnsi="Times New Roman" w:cs="Times New Roman"/>
                <w:b/>
                <w:bCs/>
                <w:kern w:val="0"/>
                <w:sz w:val="18"/>
                <w:szCs w:val="18"/>
              </w:rPr>
              <w:t>(%)</w:t>
            </w:r>
          </w:p>
        </w:tc>
      </w:tr>
      <w:tr w:rsidR="00BD3166" w14:paraId="658EB6E1" w14:textId="77777777">
        <w:trPr>
          <w:trHeight w:val="319"/>
          <w:jc w:val="center"/>
        </w:trPr>
        <w:tc>
          <w:tcPr>
            <w:tcW w:w="11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EF0EA" w14:textId="77777777" w:rsidR="00BD3166" w:rsidRPr="00E367D8" w:rsidRDefault="00C64679">
            <w:pPr>
              <w:widowControl/>
              <w:jc w:val="center"/>
              <w:rPr>
                <w:rFonts w:ascii="Times New Roman" w:hAnsi="Times New Roman" w:cs="Times New Roman"/>
                <w:kern w:val="0"/>
                <w:sz w:val="18"/>
                <w:szCs w:val="18"/>
              </w:rPr>
            </w:pPr>
            <w:r w:rsidRPr="00E367D8">
              <w:rPr>
                <w:rFonts w:ascii="Times New Roman" w:hAnsi="Times New Roman" w:cs="Times New Roman" w:hint="eastAsia"/>
                <w:kern w:val="0"/>
                <w:sz w:val="18"/>
                <w:szCs w:val="18"/>
              </w:rPr>
              <w:t>大唐微电子</w:t>
            </w:r>
          </w:p>
        </w:tc>
        <w:tc>
          <w:tcPr>
            <w:tcW w:w="353" w:type="pct"/>
            <w:tcBorders>
              <w:top w:val="nil"/>
              <w:left w:val="nil"/>
              <w:bottom w:val="single" w:sz="4" w:space="0" w:color="auto"/>
              <w:right w:val="single" w:sz="4" w:space="0" w:color="auto"/>
            </w:tcBorders>
            <w:shd w:val="clear" w:color="auto" w:fill="auto"/>
            <w:vAlign w:val="center"/>
          </w:tcPr>
          <w:p w14:paraId="53AD33B9"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10.80</w:t>
            </w:r>
          </w:p>
        </w:tc>
        <w:tc>
          <w:tcPr>
            <w:tcW w:w="443" w:type="pct"/>
            <w:tcBorders>
              <w:top w:val="nil"/>
              <w:left w:val="nil"/>
              <w:bottom w:val="single" w:sz="4" w:space="0" w:color="auto"/>
              <w:right w:val="single" w:sz="4" w:space="0" w:color="auto"/>
            </w:tcBorders>
            <w:shd w:val="clear" w:color="auto" w:fill="auto"/>
            <w:vAlign w:val="center"/>
          </w:tcPr>
          <w:p w14:paraId="36A61D92"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5.73</w:t>
            </w:r>
          </w:p>
        </w:tc>
        <w:tc>
          <w:tcPr>
            <w:tcW w:w="403" w:type="pct"/>
            <w:tcBorders>
              <w:top w:val="nil"/>
              <w:left w:val="nil"/>
              <w:bottom w:val="single" w:sz="4" w:space="0" w:color="auto"/>
              <w:right w:val="single" w:sz="4" w:space="0" w:color="auto"/>
            </w:tcBorders>
            <w:shd w:val="clear" w:color="auto" w:fill="auto"/>
            <w:vAlign w:val="center"/>
          </w:tcPr>
          <w:p w14:paraId="1DC929F5"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14.83</w:t>
            </w:r>
          </w:p>
        </w:tc>
        <w:tc>
          <w:tcPr>
            <w:tcW w:w="402" w:type="pct"/>
            <w:tcBorders>
              <w:top w:val="nil"/>
              <w:left w:val="nil"/>
              <w:bottom w:val="single" w:sz="4" w:space="0" w:color="auto"/>
              <w:right w:val="single" w:sz="4" w:space="0" w:color="auto"/>
            </w:tcBorders>
            <w:shd w:val="clear" w:color="auto" w:fill="auto"/>
            <w:vAlign w:val="center"/>
          </w:tcPr>
          <w:p w14:paraId="495B4D28"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0.28</w:t>
            </w:r>
          </w:p>
        </w:tc>
        <w:tc>
          <w:tcPr>
            <w:tcW w:w="365" w:type="pct"/>
            <w:tcBorders>
              <w:top w:val="nil"/>
              <w:left w:val="nil"/>
              <w:bottom w:val="single" w:sz="4" w:space="0" w:color="auto"/>
              <w:right w:val="single" w:sz="4" w:space="0" w:color="auto"/>
            </w:tcBorders>
            <w:shd w:val="clear" w:color="auto" w:fill="auto"/>
            <w:vAlign w:val="center"/>
          </w:tcPr>
          <w:p w14:paraId="4EABD75D"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3.67</w:t>
            </w:r>
          </w:p>
        </w:tc>
        <w:tc>
          <w:tcPr>
            <w:tcW w:w="416" w:type="pct"/>
            <w:tcBorders>
              <w:top w:val="nil"/>
              <w:left w:val="nil"/>
              <w:bottom w:val="single" w:sz="4" w:space="0" w:color="auto"/>
              <w:right w:val="single" w:sz="4" w:space="0" w:color="auto"/>
            </w:tcBorders>
            <w:shd w:val="clear" w:color="auto" w:fill="auto"/>
            <w:vAlign w:val="center"/>
          </w:tcPr>
          <w:p w14:paraId="3171F0D7"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70.80</w:t>
            </w:r>
          </w:p>
        </w:tc>
        <w:tc>
          <w:tcPr>
            <w:tcW w:w="306" w:type="pct"/>
            <w:tcBorders>
              <w:top w:val="nil"/>
              <w:left w:val="nil"/>
              <w:bottom w:val="single" w:sz="4" w:space="0" w:color="auto"/>
              <w:right w:val="single" w:sz="4" w:space="0" w:color="auto"/>
            </w:tcBorders>
            <w:shd w:val="clear" w:color="auto" w:fill="auto"/>
            <w:vAlign w:val="center"/>
          </w:tcPr>
          <w:p w14:paraId="7B312AB7"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1.55</w:t>
            </w:r>
          </w:p>
        </w:tc>
        <w:tc>
          <w:tcPr>
            <w:tcW w:w="381" w:type="pct"/>
            <w:tcBorders>
              <w:top w:val="nil"/>
              <w:left w:val="nil"/>
              <w:bottom w:val="single" w:sz="4" w:space="0" w:color="auto"/>
              <w:right w:val="single" w:sz="4" w:space="0" w:color="auto"/>
            </w:tcBorders>
            <w:shd w:val="clear" w:color="auto" w:fill="auto"/>
            <w:vAlign w:val="center"/>
          </w:tcPr>
          <w:p w14:paraId="28409AAE"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-11.58</w:t>
            </w:r>
          </w:p>
        </w:tc>
        <w:tc>
          <w:tcPr>
            <w:tcW w:w="429" w:type="pct"/>
            <w:tcBorders>
              <w:top w:val="nil"/>
              <w:left w:val="nil"/>
              <w:bottom w:val="single" w:sz="4" w:space="0" w:color="auto"/>
              <w:right w:val="single" w:sz="4" w:space="0" w:color="auto"/>
            </w:tcBorders>
            <w:shd w:val="clear" w:color="auto" w:fill="auto"/>
            <w:vAlign w:val="center"/>
          </w:tcPr>
          <w:p w14:paraId="517AC3C6"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-12.87</w:t>
            </w:r>
          </w:p>
        </w:tc>
        <w:tc>
          <w:tcPr>
            <w:tcW w:w="362" w:type="pct"/>
            <w:tcBorders>
              <w:top w:val="nil"/>
              <w:left w:val="nil"/>
              <w:bottom w:val="single" w:sz="4" w:space="0" w:color="auto"/>
              <w:right w:val="single" w:sz="4" w:space="0" w:color="auto"/>
            </w:tcBorders>
            <w:shd w:val="clear" w:color="auto" w:fill="auto"/>
            <w:vAlign w:val="center"/>
          </w:tcPr>
          <w:p w14:paraId="6DB57677"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8.66</w:t>
            </w:r>
          </w:p>
        </w:tc>
      </w:tr>
      <w:tr w:rsidR="00BD3166" w14:paraId="0FD49AD4" w14:textId="77777777">
        <w:trPr>
          <w:trHeight w:val="319"/>
          <w:jc w:val="center"/>
        </w:trPr>
        <w:tc>
          <w:tcPr>
            <w:tcW w:w="565" w:type="pct"/>
            <w:tcBorders>
              <w:top w:val="nil"/>
              <w:left w:val="single" w:sz="4" w:space="0" w:color="auto"/>
              <w:bottom w:val="single" w:sz="4" w:space="0" w:color="auto"/>
              <w:right w:val="single" w:sz="4" w:space="0" w:color="auto"/>
            </w:tcBorders>
            <w:shd w:val="clear" w:color="auto" w:fill="auto"/>
            <w:vAlign w:val="center"/>
          </w:tcPr>
          <w:p w14:paraId="2F0AB520" w14:textId="77777777" w:rsidR="00BD3166" w:rsidRPr="00E367D8" w:rsidRDefault="00C64679">
            <w:pPr>
              <w:widowControl/>
              <w:jc w:val="center"/>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300689.SZ</w:t>
            </w:r>
          </w:p>
        </w:tc>
        <w:tc>
          <w:tcPr>
            <w:tcW w:w="564" w:type="pct"/>
            <w:tcBorders>
              <w:top w:val="nil"/>
              <w:left w:val="nil"/>
              <w:bottom w:val="single" w:sz="4" w:space="0" w:color="auto"/>
              <w:right w:val="single" w:sz="4" w:space="0" w:color="auto"/>
            </w:tcBorders>
            <w:shd w:val="clear" w:color="auto" w:fill="auto"/>
            <w:vAlign w:val="center"/>
          </w:tcPr>
          <w:p w14:paraId="48D348DE" w14:textId="77777777" w:rsidR="00BD3166" w:rsidRPr="00E367D8" w:rsidRDefault="00C64679">
            <w:pPr>
              <w:widowControl/>
              <w:jc w:val="left"/>
              <w:textAlignment w:val="center"/>
              <w:rPr>
                <w:rFonts w:ascii="Times New Roman" w:hAnsi="Times New Roman" w:cs="Times New Roman"/>
                <w:kern w:val="0"/>
                <w:sz w:val="18"/>
                <w:szCs w:val="18"/>
              </w:rPr>
            </w:pPr>
            <w:proofErr w:type="gramStart"/>
            <w:r w:rsidRPr="00E367D8">
              <w:rPr>
                <w:rFonts w:ascii="Times New Roman" w:eastAsia="宋体" w:hAnsi="Times New Roman" w:cs="Times New Roman" w:hint="eastAsia"/>
                <w:color w:val="000000"/>
                <w:kern w:val="0"/>
                <w:sz w:val="18"/>
                <w:szCs w:val="18"/>
                <w:lang w:bidi="ar"/>
              </w:rPr>
              <w:t>澄天伟业</w:t>
            </w:r>
            <w:proofErr w:type="gramEnd"/>
          </w:p>
        </w:tc>
        <w:tc>
          <w:tcPr>
            <w:tcW w:w="353" w:type="pct"/>
            <w:tcBorders>
              <w:top w:val="nil"/>
              <w:left w:val="nil"/>
              <w:bottom w:val="single" w:sz="4" w:space="0" w:color="auto"/>
              <w:right w:val="single" w:sz="4" w:space="0" w:color="auto"/>
            </w:tcBorders>
            <w:shd w:val="clear" w:color="auto" w:fill="auto"/>
            <w:vAlign w:val="center"/>
          </w:tcPr>
          <w:p w14:paraId="6C9F47FC"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3.84</w:t>
            </w:r>
          </w:p>
        </w:tc>
        <w:tc>
          <w:tcPr>
            <w:tcW w:w="443" w:type="pct"/>
            <w:tcBorders>
              <w:top w:val="nil"/>
              <w:left w:val="nil"/>
              <w:bottom w:val="single" w:sz="4" w:space="0" w:color="auto"/>
              <w:right w:val="single" w:sz="4" w:space="0" w:color="auto"/>
            </w:tcBorders>
            <w:shd w:val="clear" w:color="auto" w:fill="auto"/>
            <w:vAlign w:val="center"/>
          </w:tcPr>
          <w:p w14:paraId="3599787F"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3.66</w:t>
            </w:r>
          </w:p>
        </w:tc>
        <w:tc>
          <w:tcPr>
            <w:tcW w:w="403" w:type="pct"/>
            <w:tcBorders>
              <w:top w:val="nil"/>
              <w:left w:val="nil"/>
              <w:bottom w:val="single" w:sz="4" w:space="0" w:color="auto"/>
              <w:right w:val="single" w:sz="4" w:space="0" w:color="auto"/>
            </w:tcBorders>
            <w:shd w:val="clear" w:color="auto" w:fill="auto"/>
            <w:vAlign w:val="center"/>
          </w:tcPr>
          <w:p w14:paraId="5BB073FB"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7.74</w:t>
            </w:r>
          </w:p>
        </w:tc>
        <w:tc>
          <w:tcPr>
            <w:tcW w:w="402" w:type="pct"/>
            <w:tcBorders>
              <w:top w:val="nil"/>
              <w:left w:val="nil"/>
              <w:bottom w:val="single" w:sz="4" w:space="0" w:color="auto"/>
              <w:right w:val="single" w:sz="4" w:space="0" w:color="auto"/>
            </w:tcBorders>
            <w:shd w:val="clear" w:color="auto" w:fill="auto"/>
            <w:vAlign w:val="center"/>
          </w:tcPr>
          <w:p w14:paraId="1B5E47D7"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0.50</w:t>
            </w:r>
          </w:p>
        </w:tc>
        <w:tc>
          <w:tcPr>
            <w:tcW w:w="365" w:type="pct"/>
            <w:tcBorders>
              <w:top w:val="nil"/>
              <w:left w:val="nil"/>
              <w:bottom w:val="single" w:sz="4" w:space="0" w:color="auto"/>
              <w:right w:val="single" w:sz="4" w:space="0" w:color="auto"/>
            </w:tcBorders>
            <w:shd w:val="clear" w:color="auto" w:fill="auto"/>
            <w:vAlign w:val="center"/>
          </w:tcPr>
          <w:p w14:paraId="0AF6CCEA"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3.71</w:t>
            </w:r>
          </w:p>
        </w:tc>
        <w:tc>
          <w:tcPr>
            <w:tcW w:w="416" w:type="pct"/>
            <w:tcBorders>
              <w:top w:val="nil"/>
              <w:left w:val="nil"/>
              <w:bottom w:val="single" w:sz="4" w:space="0" w:color="auto"/>
              <w:right w:val="single" w:sz="4" w:space="0" w:color="auto"/>
            </w:tcBorders>
            <w:shd w:val="clear" w:color="auto" w:fill="auto"/>
            <w:vAlign w:val="center"/>
          </w:tcPr>
          <w:p w14:paraId="391FDD43"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11.61</w:t>
            </w:r>
          </w:p>
        </w:tc>
        <w:tc>
          <w:tcPr>
            <w:tcW w:w="306" w:type="pct"/>
            <w:tcBorders>
              <w:top w:val="nil"/>
              <w:left w:val="nil"/>
              <w:bottom w:val="single" w:sz="4" w:space="0" w:color="auto"/>
              <w:right w:val="single" w:sz="4" w:space="0" w:color="auto"/>
            </w:tcBorders>
            <w:shd w:val="clear" w:color="auto" w:fill="auto"/>
            <w:vAlign w:val="center"/>
          </w:tcPr>
          <w:p w14:paraId="16782C48"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4.41</w:t>
            </w:r>
          </w:p>
        </w:tc>
        <w:tc>
          <w:tcPr>
            <w:tcW w:w="381" w:type="pct"/>
            <w:tcBorders>
              <w:top w:val="nil"/>
              <w:left w:val="nil"/>
              <w:bottom w:val="single" w:sz="4" w:space="0" w:color="auto"/>
              <w:right w:val="single" w:sz="4" w:space="0" w:color="auto"/>
            </w:tcBorders>
            <w:shd w:val="clear" w:color="auto" w:fill="auto"/>
            <w:vAlign w:val="center"/>
          </w:tcPr>
          <w:p w14:paraId="1B4790F0"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-0.05</w:t>
            </w:r>
          </w:p>
        </w:tc>
        <w:tc>
          <w:tcPr>
            <w:tcW w:w="429" w:type="pct"/>
            <w:tcBorders>
              <w:top w:val="nil"/>
              <w:left w:val="nil"/>
              <w:bottom w:val="single" w:sz="4" w:space="0" w:color="auto"/>
              <w:right w:val="single" w:sz="4" w:space="0" w:color="auto"/>
            </w:tcBorders>
            <w:shd w:val="clear" w:color="auto" w:fill="auto"/>
            <w:vAlign w:val="center"/>
          </w:tcPr>
          <w:p w14:paraId="2390054E"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-50.95</w:t>
            </w:r>
          </w:p>
        </w:tc>
        <w:tc>
          <w:tcPr>
            <w:tcW w:w="362" w:type="pct"/>
            <w:tcBorders>
              <w:top w:val="nil"/>
              <w:left w:val="nil"/>
              <w:bottom w:val="single" w:sz="4" w:space="0" w:color="auto"/>
              <w:right w:val="single" w:sz="4" w:space="0" w:color="auto"/>
            </w:tcBorders>
            <w:shd w:val="clear" w:color="auto" w:fill="auto"/>
            <w:vAlign w:val="center"/>
          </w:tcPr>
          <w:p w14:paraId="67284B10"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-0.95</w:t>
            </w:r>
          </w:p>
        </w:tc>
      </w:tr>
      <w:tr w:rsidR="00BD3166" w14:paraId="6B0720D8" w14:textId="77777777">
        <w:trPr>
          <w:trHeight w:val="319"/>
          <w:jc w:val="center"/>
        </w:trPr>
        <w:tc>
          <w:tcPr>
            <w:tcW w:w="565" w:type="pct"/>
            <w:tcBorders>
              <w:top w:val="nil"/>
              <w:left w:val="single" w:sz="4" w:space="0" w:color="auto"/>
              <w:bottom w:val="single" w:sz="4" w:space="0" w:color="auto"/>
              <w:right w:val="single" w:sz="4" w:space="0" w:color="auto"/>
            </w:tcBorders>
            <w:shd w:val="clear" w:color="auto" w:fill="auto"/>
            <w:vAlign w:val="center"/>
          </w:tcPr>
          <w:p w14:paraId="6A446DB6" w14:textId="77777777" w:rsidR="00BD3166" w:rsidRPr="00E367D8" w:rsidRDefault="00C64679">
            <w:pPr>
              <w:widowControl/>
              <w:jc w:val="center"/>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300458.SZ</w:t>
            </w:r>
          </w:p>
        </w:tc>
        <w:tc>
          <w:tcPr>
            <w:tcW w:w="564" w:type="pct"/>
            <w:tcBorders>
              <w:top w:val="nil"/>
              <w:left w:val="nil"/>
              <w:bottom w:val="single" w:sz="4" w:space="0" w:color="auto"/>
              <w:right w:val="single" w:sz="4" w:space="0" w:color="auto"/>
            </w:tcBorders>
            <w:shd w:val="clear" w:color="auto" w:fill="auto"/>
            <w:vAlign w:val="center"/>
          </w:tcPr>
          <w:p w14:paraId="5E31CFE2" w14:textId="77777777" w:rsidR="00BD3166" w:rsidRPr="00E367D8" w:rsidRDefault="00C64679">
            <w:pPr>
              <w:widowControl/>
              <w:jc w:val="left"/>
              <w:textAlignment w:val="center"/>
              <w:rPr>
                <w:rFonts w:ascii="Times New Roman" w:hAnsi="Times New Roman" w:cs="Times New Roman"/>
                <w:kern w:val="0"/>
                <w:sz w:val="18"/>
                <w:szCs w:val="18"/>
              </w:rPr>
            </w:pPr>
            <w:r w:rsidRPr="00E367D8">
              <w:rPr>
                <w:rFonts w:ascii="Times New Roman" w:eastAsia="宋体" w:hAnsi="Times New Roman" w:cs="Times New Roman" w:hint="eastAsia"/>
                <w:color w:val="000000"/>
                <w:kern w:val="0"/>
                <w:sz w:val="18"/>
                <w:szCs w:val="18"/>
                <w:lang w:bidi="ar"/>
              </w:rPr>
              <w:t>全志科技</w:t>
            </w:r>
          </w:p>
        </w:tc>
        <w:tc>
          <w:tcPr>
            <w:tcW w:w="353" w:type="pct"/>
            <w:tcBorders>
              <w:top w:val="nil"/>
              <w:left w:val="nil"/>
              <w:bottom w:val="single" w:sz="4" w:space="0" w:color="auto"/>
              <w:right w:val="single" w:sz="4" w:space="0" w:color="auto"/>
            </w:tcBorders>
            <w:shd w:val="clear" w:color="auto" w:fill="auto"/>
            <w:vAlign w:val="center"/>
          </w:tcPr>
          <w:p w14:paraId="3800F91A"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8.74</w:t>
            </w:r>
          </w:p>
        </w:tc>
        <w:tc>
          <w:tcPr>
            <w:tcW w:w="443" w:type="pct"/>
            <w:tcBorders>
              <w:top w:val="nil"/>
              <w:left w:val="nil"/>
              <w:bottom w:val="single" w:sz="4" w:space="0" w:color="auto"/>
              <w:right w:val="single" w:sz="4" w:space="0" w:color="auto"/>
            </w:tcBorders>
            <w:shd w:val="clear" w:color="auto" w:fill="auto"/>
            <w:vAlign w:val="center"/>
          </w:tcPr>
          <w:p w14:paraId="186138C8"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6.28</w:t>
            </w:r>
          </w:p>
        </w:tc>
        <w:tc>
          <w:tcPr>
            <w:tcW w:w="403" w:type="pct"/>
            <w:tcBorders>
              <w:top w:val="nil"/>
              <w:left w:val="nil"/>
              <w:bottom w:val="single" w:sz="4" w:space="0" w:color="auto"/>
              <w:right w:val="single" w:sz="4" w:space="0" w:color="auto"/>
            </w:tcBorders>
            <w:shd w:val="clear" w:color="auto" w:fill="auto"/>
            <w:vAlign w:val="center"/>
          </w:tcPr>
          <w:p w14:paraId="64CC1E6E"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14.11</w:t>
            </w:r>
          </w:p>
        </w:tc>
        <w:tc>
          <w:tcPr>
            <w:tcW w:w="402" w:type="pct"/>
            <w:tcBorders>
              <w:top w:val="nil"/>
              <w:left w:val="nil"/>
              <w:bottom w:val="single" w:sz="4" w:space="0" w:color="auto"/>
              <w:right w:val="single" w:sz="4" w:space="0" w:color="auto"/>
            </w:tcBorders>
            <w:shd w:val="clear" w:color="auto" w:fill="auto"/>
            <w:vAlign w:val="center"/>
          </w:tcPr>
          <w:p w14:paraId="05B850A2"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0.57</w:t>
            </w:r>
          </w:p>
        </w:tc>
        <w:tc>
          <w:tcPr>
            <w:tcW w:w="365" w:type="pct"/>
            <w:tcBorders>
              <w:top w:val="nil"/>
              <w:left w:val="nil"/>
              <w:bottom w:val="single" w:sz="4" w:space="0" w:color="auto"/>
              <w:right w:val="single" w:sz="4" w:space="0" w:color="auto"/>
            </w:tcBorders>
            <w:shd w:val="clear" w:color="auto" w:fill="auto"/>
            <w:vAlign w:val="center"/>
          </w:tcPr>
          <w:p w14:paraId="0AFA1532"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44.41</w:t>
            </w:r>
          </w:p>
        </w:tc>
        <w:tc>
          <w:tcPr>
            <w:tcW w:w="416" w:type="pct"/>
            <w:tcBorders>
              <w:top w:val="nil"/>
              <w:left w:val="nil"/>
              <w:bottom w:val="single" w:sz="4" w:space="0" w:color="auto"/>
              <w:right w:val="single" w:sz="4" w:space="0" w:color="auto"/>
            </w:tcBorders>
            <w:shd w:val="clear" w:color="auto" w:fill="auto"/>
            <w:vAlign w:val="center"/>
          </w:tcPr>
          <w:p w14:paraId="370BD770"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14.97</w:t>
            </w:r>
          </w:p>
        </w:tc>
        <w:tc>
          <w:tcPr>
            <w:tcW w:w="306" w:type="pct"/>
            <w:tcBorders>
              <w:top w:val="nil"/>
              <w:left w:val="nil"/>
              <w:bottom w:val="single" w:sz="4" w:space="0" w:color="auto"/>
              <w:right w:val="single" w:sz="4" w:space="0" w:color="auto"/>
            </w:tcBorders>
            <w:shd w:val="clear" w:color="auto" w:fill="auto"/>
            <w:vAlign w:val="center"/>
          </w:tcPr>
          <w:p w14:paraId="5C54A6F9"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5.04</w:t>
            </w:r>
          </w:p>
        </w:tc>
        <w:tc>
          <w:tcPr>
            <w:tcW w:w="381" w:type="pct"/>
            <w:tcBorders>
              <w:top w:val="nil"/>
              <w:left w:val="nil"/>
              <w:bottom w:val="single" w:sz="4" w:space="0" w:color="auto"/>
              <w:right w:val="single" w:sz="4" w:space="0" w:color="auto"/>
            </w:tcBorders>
            <w:shd w:val="clear" w:color="auto" w:fill="auto"/>
            <w:vAlign w:val="center"/>
          </w:tcPr>
          <w:p w14:paraId="36967CA5"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2.88</w:t>
            </w:r>
          </w:p>
        </w:tc>
        <w:tc>
          <w:tcPr>
            <w:tcW w:w="429" w:type="pct"/>
            <w:tcBorders>
              <w:top w:val="nil"/>
              <w:left w:val="nil"/>
              <w:bottom w:val="single" w:sz="4" w:space="0" w:color="auto"/>
              <w:right w:val="single" w:sz="4" w:space="0" w:color="auto"/>
            </w:tcBorders>
            <w:shd w:val="clear" w:color="auto" w:fill="auto"/>
            <w:vAlign w:val="center"/>
          </w:tcPr>
          <w:p w14:paraId="463885C8"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60.82</w:t>
            </w:r>
          </w:p>
        </w:tc>
        <w:tc>
          <w:tcPr>
            <w:tcW w:w="362" w:type="pct"/>
            <w:tcBorders>
              <w:top w:val="nil"/>
              <w:left w:val="nil"/>
              <w:bottom w:val="single" w:sz="4" w:space="0" w:color="auto"/>
              <w:right w:val="single" w:sz="4" w:space="0" w:color="auto"/>
            </w:tcBorders>
            <w:shd w:val="clear" w:color="auto" w:fill="auto"/>
            <w:vAlign w:val="center"/>
          </w:tcPr>
          <w:p w14:paraId="01711A35"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7.30</w:t>
            </w:r>
          </w:p>
        </w:tc>
      </w:tr>
      <w:tr w:rsidR="00BD3166" w14:paraId="1D8C46F0" w14:textId="77777777">
        <w:trPr>
          <w:trHeight w:val="319"/>
          <w:jc w:val="center"/>
        </w:trPr>
        <w:tc>
          <w:tcPr>
            <w:tcW w:w="565" w:type="pct"/>
            <w:tcBorders>
              <w:top w:val="nil"/>
              <w:left w:val="single" w:sz="4" w:space="0" w:color="auto"/>
              <w:bottom w:val="single" w:sz="4" w:space="0" w:color="auto"/>
              <w:right w:val="single" w:sz="4" w:space="0" w:color="auto"/>
            </w:tcBorders>
            <w:shd w:val="clear" w:color="auto" w:fill="auto"/>
            <w:vAlign w:val="center"/>
          </w:tcPr>
          <w:p w14:paraId="0B83E427" w14:textId="77777777" w:rsidR="00BD3166" w:rsidRPr="00E367D8" w:rsidRDefault="00C64679">
            <w:pPr>
              <w:widowControl/>
              <w:jc w:val="center"/>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300327.SZ</w:t>
            </w:r>
          </w:p>
        </w:tc>
        <w:tc>
          <w:tcPr>
            <w:tcW w:w="564" w:type="pct"/>
            <w:tcBorders>
              <w:top w:val="nil"/>
              <w:left w:val="nil"/>
              <w:bottom w:val="single" w:sz="4" w:space="0" w:color="auto"/>
              <w:right w:val="single" w:sz="4" w:space="0" w:color="auto"/>
            </w:tcBorders>
            <w:shd w:val="clear" w:color="auto" w:fill="auto"/>
            <w:vAlign w:val="center"/>
          </w:tcPr>
          <w:p w14:paraId="5DD4578D" w14:textId="77777777" w:rsidR="00BD3166" w:rsidRPr="00E367D8" w:rsidRDefault="00C64679">
            <w:pPr>
              <w:widowControl/>
              <w:jc w:val="left"/>
              <w:textAlignment w:val="center"/>
              <w:rPr>
                <w:rFonts w:ascii="Times New Roman" w:hAnsi="Times New Roman" w:cs="Times New Roman"/>
                <w:kern w:val="0"/>
                <w:sz w:val="18"/>
                <w:szCs w:val="18"/>
              </w:rPr>
            </w:pPr>
            <w:proofErr w:type="gramStart"/>
            <w:r w:rsidRPr="00E367D8">
              <w:rPr>
                <w:rFonts w:ascii="Times New Roman" w:eastAsia="宋体" w:hAnsi="Times New Roman" w:cs="Times New Roman" w:hint="eastAsia"/>
                <w:color w:val="000000"/>
                <w:kern w:val="0"/>
                <w:sz w:val="18"/>
                <w:szCs w:val="18"/>
                <w:lang w:bidi="ar"/>
              </w:rPr>
              <w:t>中颖电子</w:t>
            </w:r>
            <w:proofErr w:type="gramEnd"/>
          </w:p>
        </w:tc>
        <w:tc>
          <w:tcPr>
            <w:tcW w:w="353" w:type="pct"/>
            <w:tcBorders>
              <w:top w:val="nil"/>
              <w:left w:val="nil"/>
              <w:bottom w:val="single" w:sz="4" w:space="0" w:color="auto"/>
              <w:right w:val="single" w:sz="4" w:space="0" w:color="auto"/>
            </w:tcBorders>
            <w:shd w:val="clear" w:color="auto" w:fill="auto"/>
            <w:vAlign w:val="center"/>
          </w:tcPr>
          <w:p w14:paraId="362F9C95"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19.76</w:t>
            </w:r>
          </w:p>
        </w:tc>
        <w:tc>
          <w:tcPr>
            <w:tcW w:w="443" w:type="pct"/>
            <w:tcBorders>
              <w:top w:val="nil"/>
              <w:left w:val="nil"/>
              <w:bottom w:val="single" w:sz="4" w:space="0" w:color="auto"/>
              <w:right w:val="single" w:sz="4" w:space="0" w:color="auto"/>
            </w:tcBorders>
            <w:shd w:val="clear" w:color="auto" w:fill="auto"/>
            <w:vAlign w:val="center"/>
          </w:tcPr>
          <w:p w14:paraId="5B96CA3B"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16.15</w:t>
            </w:r>
          </w:p>
        </w:tc>
        <w:tc>
          <w:tcPr>
            <w:tcW w:w="403" w:type="pct"/>
            <w:tcBorders>
              <w:top w:val="nil"/>
              <w:left w:val="nil"/>
              <w:bottom w:val="single" w:sz="4" w:space="0" w:color="auto"/>
              <w:right w:val="single" w:sz="4" w:space="0" w:color="auto"/>
            </w:tcBorders>
            <w:shd w:val="clear" w:color="auto" w:fill="auto"/>
            <w:vAlign w:val="center"/>
          </w:tcPr>
          <w:p w14:paraId="42D92BED"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21.50</w:t>
            </w:r>
          </w:p>
        </w:tc>
        <w:tc>
          <w:tcPr>
            <w:tcW w:w="402" w:type="pct"/>
            <w:tcBorders>
              <w:top w:val="nil"/>
              <w:left w:val="nil"/>
              <w:bottom w:val="single" w:sz="4" w:space="0" w:color="auto"/>
              <w:right w:val="single" w:sz="4" w:space="0" w:color="auto"/>
            </w:tcBorders>
            <w:shd w:val="clear" w:color="auto" w:fill="auto"/>
            <w:vAlign w:val="center"/>
          </w:tcPr>
          <w:p w14:paraId="2076EB8E"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0.80</w:t>
            </w:r>
          </w:p>
        </w:tc>
        <w:tc>
          <w:tcPr>
            <w:tcW w:w="365" w:type="pct"/>
            <w:tcBorders>
              <w:top w:val="nil"/>
              <w:left w:val="nil"/>
              <w:bottom w:val="single" w:sz="4" w:space="0" w:color="auto"/>
              <w:right w:val="single" w:sz="4" w:space="0" w:color="auto"/>
            </w:tcBorders>
            <w:shd w:val="clear" w:color="auto" w:fill="auto"/>
            <w:vAlign w:val="center"/>
          </w:tcPr>
          <w:p w14:paraId="0D3772DE"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6.87</w:t>
            </w:r>
          </w:p>
        </w:tc>
        <w:tc>
          <w:tcPr>
            <w:tcW w:w="416" w:type="pct"/>
            <w:tcBorders>
              <w:top w:val="nil"/>
              <w:left w:val="nil"/>
              <w:bottom w:val="single" w:sz="4" w:space="0" w:color="auto"/>
              <w:right w:val="single" w:sz="4" w:space="0" w:color="auto"/>
            </w:tcBorders>
            <w:shd w:val="clear" w:color="auto" w:fill="auto"/>
            <w:vAlign w:val="center"/>
          </w:tcPr>
          <w:p w14:paraId="233E5EAE"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18.54</w:t>
            </w:r>
          </w:p>
        </w:tc>
        <w:tc>
          <w:tcPr>
            <w:tcW w:w="306" w:type="pct"/>
            <w:tcBorders>
              <w:top w:val="nil"/>
              <w:left w:val="nil"/>
              <w:bottom w:val="single" w:sz="4" w:space="0" w:color="auto"/>
              <w:right w:val="single" w:sz="4" w:space="0" w:color="auto"/>
            </w:tcBorders>
            <w:shd w:val="clear" w:color="auto" w:fill="auto"/>
            <w:vAlign w:val="center"/>
          </w:tcPr>
          <w:p w14:paraId="2AC2FD3F"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4.33</w:t>
            </w:r>
          </w:p>
        </w:tc>
        <w:tc>
          <w:tcPr>
            <w:tcW w:w="381" w:type="pct"/>
            <w:tcBorders>
              <w:top w:val="nil"/>
              <w:left w:val="nil"/>
              <w:bottom w:val="single" w:sz="4" w:space="0" w:color="auto"/>
              <w:right w:val="single" w:sz="4" w:space="0" w:color="auto"/>
            </w:tcBorders>
            <w:shd w:val="clear" w:color="auto" w:fill="auto"/>
            <w:vAlign w:val="center"/>
          </w:tcPr>
          <w:p w14:paraId="157A3108"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21.35</w:t>
            </w:r>
          </w:p>
        </w:tc>
        <w:tc>
          <w:tcPr>
            <w:tcW w:w="429" w:type="pct"/>
            <w:tcBorders>
              <w:top w:val="nil"/>
              <w:left w:val="nil"/>
              <w:bottom w:val="single" w:sz="4" w:space="0" w:color="auto"/>
              <w:right w:val="single" w:sz="4" w:space="0" w:color="auto"/>
            </w:tcBorders>
            <w:shd w:val="clear" w:color="auto" w:fill="auto"/>
            <w:vAlign w:val="center"/>
          </w:tcPr>
          <w:p w14:paraId="0BB7BCE7"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13.12</w:t>
            </w:r>
          </w:p>
        </w:tc>
        <w:tc>
          <w:tcPr>
            <w:tcW w:w="362" w:type="pct"/>
            <w:tcBorders>
              <w:top w:val="nil"/>
              <w:left w:val="nil"/>
              <w:bottom w:val="single" w:sz="4" w:space="0" w:color="auto"/>
              <w:right w:val="single" w:sz="4" w:space="0" w:color="auto"/>
            </w:tcBorders>
            <w:shd w:val="clear" w:color="auto" w:fill="auto"/>
            <w:vAlign w:val="center"/>
          </w:tcPr>
          <w:p w14:paraId="22D697DA"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10.10</w:t>
            </w:r>
          </w:p>
        </w:tc>
      </w:tr>
      <w:tr w:rsidR="00BD3166" w14:paraId="1D43FC3E" w14:textId="77777777">
        <w:trPr>
          <w:trHeight w:val="319"/>
          <w:jc w:val="center"/>
        </w:trPr>
        <w:tc>
          <w:tcPr>
            <w:tcW w:w="565" w:type="pct"/>
            <w:tcBorders>
              <w:top w:val="nil"/>
              <w:left w:val="single" w:sz="4" w:space="0" w:color="auto"/>
              <w:bottom w:val="single" w:sz="4" w:space="0" w:color="auto"/>
              <w:right w:val="single" w:sz="4" w:space="0" w:color="auto"/>
            </w:tcBorders>
            <w:shd w:val="clear" w:color="auto" w:fill="auto"/>
            <w:vAlign w:val="center"/>
          </w:tcPr>
          <w:p w14:paraId="298A1644" w14:textId="77777777" w:rsidR="00BD3166" w:rsidRPr="00E367D8" w:rsidRDefault="00C64679">
            <w:pPr>
              <w:widowControl/>
              <w:jc w:val="center"/>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603160.SH</w:t>
            </w:r>
          </w:p>
        </w:tc>
        <w:tc>
          <w:tcPr>
            <w:tcW w:w="564" w:type="pct"/>
            <w:tcBorders>
              <w:top w:val="nil"/>
              <w:left w:val="nil"/>
              <w:bottom w:val="single" w:sz="4" w:space="0" w:color="auto"/>
              <w:right w:val="single" w:sz="4" w:space="0" w:color="auto"/>
            </w:tcBorders>
            <w:shd w:val="clear" w:color="auto" w:fill="auto"/>
            <w:vAlign w:val="center"/>
          </w:tcPr>
          <w:p w14:paraId="31850792" w14:textId="77777777" w:rsidR="00BD3166" w:rsidRPr="00E367D8" w:rsidRDefault="00C64679">
            <w:pPr>
              <w:widowControl/>
              <w:jc w:val="left"/>
              <w:textAlignment w:val="center"/>
              <w:rPr>
                <w:rFonts w:ascii="Times New Roman" w:hAnsi="Times New Roman" w:cs="Times New Roman"/>
                <w:kern w:val="0"/>
                <w:sz w:val="18"/>
                <w:szCs w:val="18"/>
              </w:rPr>
            </w:pPr>
            <w:proofErr w:type="gramStart"/>
            <w:r w:rsidRPr="00E367D8">
              <w:rPr>
                <w:rFonts w:ascii="Times New Roman" w:eastAsia="宋体" w:hAnsi="Times New Roman" w:cs="Times New Roman" w:hint="eastAsia"/>
                <w:color w:val="000000"/>
                <w:kern w:val="0"/>
                <w:sz w:val="18"/>
                <w:szCs w:val="18"/>
                <w:lang w:bidi="ar"/>
              </w:rPr>
              <w:t>汇顶科技</w:t>
            </w:r>
            <w:proofErr w:type="gramEnd"/>
          </w:p>
        </w:tc>
        <w:tc>
          <w:tcPr>
            <w:tcW w:w="353" w:type="pct"/>
            <w:tcBorders>
              <w:top w:val="nil"/>
              <w:left w:val="nil"/>
              <w:bottom w:val="single" w:sz="4" w:space="0" w:color="auto"/>
              <w:right w:val="single" w:sz="4" w:space="0" w:color="auto"/>
            </w:tcBorders>
            <w:shd w:val="clear" w:color="auto" w:fill="auto"/>
            <w:vAlign w:val="center"/>
          </w:tcPr>
          <w:p w14:paraId="57802FD9"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20.64</w:t>
            </w:r>
          </w:p>
        </w:tc>
        <w:tc>
          <w:tcPr>
            <w:tcW w:w="443" w:type="pct"/>
            <w:tcBorders>
              <w:top w:val="nil"/>
              <w:left w:val="nil"/>
              <w:bottom w:val="single" w:sz="4" w:space="0" w:color="auto"/>
              <w:right w:val="single" w:sz="4" w:space="0" w:color="auto"/>
            </w:tcBorders>
            <w:shd w:val="clear" w:color="auto" w:fill="auto"/>
            <w:vAlign w:val="center"/>
          </w:tcPr>
          <w:p w14:paraId="6BB8806E"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15.99</w:t>
            </w:r>
          </w:p>
        </w:tc>
        <w:tc>
          <w:tcPr>
            <w:tcW w:w="403" w:type="pct"/>
            <w:tcBorders>
              <w:top w:val="nil"/>
              <w:left w:val="nil"/>
              <w:bottom w:val="single" w:sz="4" w:space="0" w:color="auto"/>
              <w:right w:val="single" w:sz="4" w:space="0" w:color="auto"/>
            </w:tcBorders>
            <w:shd w:val="clear" w:color="auto" w:fill="auto"/>
            <w:vAlign w:val="center"/>
          </w:tcPr>
          <w:p w14:paraId="2023EBAE"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24.57</w:t>
            </w:r>
          </w:p>
        </w:tc>
        <w:tc>
          <w:tcPr>
            <w:tcW w:w="402" w:type="pct"/>
            <w:tcBorders>
              <w:top w:val="nil"/>
              <w:left w:val="nil"/>
              <w:bottom w:val="single" w:sz="4" w:space="0" w:color="auto"/>
              <w:right w:val="single" w:sz="4" w:space="0" w:color="auto"/>
            </w:tcBorders>
            <w:shd w:val="clear" w:color="auto" w:fill="auto"/>
            <w:vAlign w:val="center"/>
          </w:tcPr>
          <w:p w14:paraId="1D154575"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0.75</w:t>
            </w:r>
          </w:p>
        </w:tc>
        <w:tc>
          <w:tcPr>
            <w:tcW w:w="365" w:type="pct"/>
            <w:tcBorders>
              <w:top w:val="nil"/>
              <w:left w:val="nil"/>
              <w:bottom w:val="single" w:sz="4" w:space="0" w:color="auto"/>
              <w:right w:val="single" w:sz="4" w:space="0" w:color="auto"/>
            </w:tcBorders>
            <w:shd w:val="clear" w:color="auto" w:fill="auto"/>
            <w:vAlign w:val="center"/>
          </w:tcPr>
          <w:p w14:paraId="54166BC6"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10.86</w:t>
            </w:r>
          </w:p>
        </w:tc>
        <w:tc>
          <w:tcPr>
            <w:tcW w:w="416" w:type="pct"/>
            <w:tcBorders>
              <w:top w:val="nil"/>
              <w:left w:val="nil"/>
              <w:bottom w:val="single" w:sz="4" w:space="0" w:color="auto"/>
              <w:right w:val="single" w:sz="4" w:space="0" w:color="auto"/>
            </w:tcBorders>
            <w:shd w:val="clear" w:color="auto" w:fill="auto"/>
            <w:vAlign w:val="center"/>
          </w:tcPr>
          <w:p w14:paraId="7B3175B3"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18.72</w:t>
            </w:r>
          </w:p>
        </w:tc>
        <w:tc>
          <w:tcPr>
            <w:tcW w:w="306" w:type="pct"/>
            <w:tcBorders>
              <w:top w:val="nil"/>
              <w:left w:val="nil"/>
              <w:bottom w:val="single" w:sz="4" w:space="0" w:color="auto"/>
              <w:right w:val="single" w:sz="4" w:space="0" w:color="auto"/>
            </w:tcBorders>
            <w:shd w:val="clear" w:color="auto" w:fill="auto"/>
            <w:vAlign w:val="center"/>
          </w:tcPr>
          <w:p w14:paraId="337D4E03"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3.32</w:t>
            </w:r>
          </w:p>
        </w:tc>
        <w:tc>
          <w:tcPr>
            <w:tcW w:w="381" w:type="pct"/>
            <w:tcBorders>
              <w:top w:val="nil"/>
              <w:left w:val="nil"/>
              <w:bottom w:val="single" w:sz="4" w:space="0" w:color="auto"/>
              <w:right w:val="single" w:sz="4" w:space="0" w:color="auto"/>
            </w:tcBorders>
            <w:shd w:val="clear" w:color="auto" w:fill="auto"/>
            <w:vAlign w:val="center"/>
          </w:tcPr>
          <w:p w14:paraId="692697D6"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3.31</w:t>
            </w:r>
          </w:p>
        </w:tc>
        <w:tc>
          <w:tcPr>
            <w:tcW w:w="429" w:type="pct"/>
            <w:tcBorders>
              <w:top w:val="nil"/>
              <w:left w:val="nil"/>
              <w:bottom w:val="single" w:sz="4" w:space="0" w:color="auto"/>
              <w:right w:val="single" w:sz="4" w:space="0" w:color="auto"/>
            </w:tcBorders>
            <w:shd w:val="clear" w:color="auto" w:fill="auto"/>
            <w:vAlign w:val="center"/>
          </w:tcPr>
          <w:p w14:paraId="089BE947"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-34.99</w:t>
            </w:r>
          </w:p>
        </w:tc>
        <w:tc>
          <w:tcPr>
            <w:tcW w:w="362" w:type="pct"/>
            <w:tcBorders>
              <w:top w:val="nil"/>
              <w:left w:val="nil"/>
              <w:bottom w:val="single" w:sz="4" w:space="0" w:color="auto"/>
              <w:right w:val="single" w:sz="4" w:space="0" w:color="auto"/>
            </w:tcBorders>
            <w:shd w:val="clear" w:color="auto" w:fill="auto"/>
            <w:vAlign w:val="center"/>
          </w:tcPr>
          <w:p w14:paraId="6050F7EC" w14:textId="77777777" w:rsidR="00BD3166" w:rsidRPr="00E367D8" w:rsidRDefault="00C64679">
            <w:pPr>
              <w:widowControl/>
              <w:jc w:val="right"/>
              <w:textAlignment w:val="center"/>
              <w:rPr>
                <w:rFonts w:ascii="Times New Roman" w:eastAsia="等线" w:hAnsi="Times New Roman" w:cs="Times New Roman"/>
                <w:kern w:val="0"/>
                <w:sz w:val="18"/>
                <w:szCs w:val="18"/>
              </w:rPr>
            </w:pPr>
            <w:r w:rsidRPr="00E367D8">
              <w:rPr>
                <w:rFonts w:ascii="Times New Roman" w:eastAsia="Arial Narrow" w:hAnsi="Times New Roman" w:cs="Times New Roman"/>
                <w:color w:val="000000"/>
                <w:kern w:val="0"/>
                <w:sz w:val="18"/>
                <w:szCs w:val="18"/>
                <w:lang w:bidi="ar"/>
              </w:rPr>
              <w:t>25.98</w:t>
            </w:r>
          </w:p>
        </w:tc>
      </w:tr>
    </w:tbl>
    <w:p w14:paraId="54309264" w14:textId="77777777" w:rsidR="00BD3166" w:rsidRDefault="00C64679">
      <w:pPr>
        <w:pStyle w:val="zw"/>
        <w:snapToGrid w:val="0"/>
        <w:rPr>
          <w:rFonts w:ascii="宋体" w:eastAsia="宋体" w:hAnsi="宋体" w:cs="Arial Narrow"/>
          <w:sz w:val="18"/>
          <w:szCs w:val="18"/>
        </w:rPr>
      </w:pPr>
      <w:r>
        <w:rPr>
          <w:rFonts w:ascii="宋体" w:eastAsia="宋体" w:hAnsi="宋体" w:cs="Arial Narrow" w:hint="eastAsia"/>
          <w:sz w:val="18"/>
          <w:szCs w:val="18"/>
        </w:rPr>
        <w:t>数据来源：Wind</w:t>
      </w:r>
    </w:p>
    <w:p w14:paraId="666CE52F" w14:textId="77777777" w:rsidR="00BD3166" w:rsidRDefault="00C64679">
      <w:pPr>
        <w:pStyle w:val="zw"/>
        <w:snapToGrid w:val="0"/>
        <w:rPr>
          <w:rFonts w:ascii="Times New Roman" w:eastAsia="宋体" w:hAnsi="Times New Roman" w:cs="Times New Roman"/>
        </w:rPr>
      </w:pPr>
      <w:r>
        <w:rPr>
          <w:rFonts w:ascii="Times New Roman" w:eastAsia="微软雅黑" w:hAnsi="Times New Roman" w:cs="Times New Roman" w:hint="eastAsia"/>
        </w:rPr>
        <w:t>2</w:t>
      </w:r>
      <w:r>
        <w:rPr>
          <w:rFonts w:ascii="Times New Roman" w:eastAsia="微软雅黑" w:hAnsi="Times New Roman" w:cs="Times New Roman" w:hint="eastAsia"/>
        </w:rPr>
        <w:t>、</w:t>
      </w:r>
      <w:r>
        <w:rPr>
          <w:rFonts w:ascii="Times New Roman" w:eastAsia="宋体" w:hAnsi="Times New Roman" w:cs="Times New Roman" w:hint="eastAsia"/>
        </w:rPr>
        <w:t>将各可比公司及被评估企业各项财务指标进行比较修正。本次评估修正思路如下：</w:t>
      </w:r>
    </w:p>
    <w:p w14:paraId="7AA13AA0" w14:textId="77777777" w:rsidR="00BD3166" w:rsidRDefault="00C64679">
      <w:pPr>
        <w:pStyle w:val="zw"/>
        <w:snapToGrid w:val="0"/>
        <w:rPr>
          <w:rFonts w:eastAsia="宋体" w:cs="Arial Narrow"/>
          <w:b/>
          <w:bCs/>
        </w:rPr>
      </w:pPr>
      <w:r>
        <w:rPr>
          <w:rFonts w:ascii="宋体" w:eastAsia="宋体" w:hAnsi="宋体" w:cs="Arial Narrow" w:hint="eastAsia"/>
        </w:rPr>
        <w:t>（1）</w:t>
      </w:r>
      <w:r>
        <w:rPr>
          <w:rFonts w:eastAsia="宋体" w:cs="Arial Narrow" w:hint="eastAsia"/>
        </w:rPr>
        <w:t>电信信息技术服务业企业绩效评价标准值如下：</w:t>
      </w:r>
    </w:p>
    <w:tbl>
      <w:tblPr>
        <w:tblW w:w="4912" w:type="pct"/>
        <w:jc w:val="center"/>
        <w:tblLook w:val="04A0" w:firstRow="1" w:lastRow="0" w:firstColumn="1" w:lastColumn="0" w:noHBand="0" w:noVBand="1"/>
      </w:tblPr>
      <w:tblGrid>
        <w:gridCol w:w="2801"/>
        <w:gridCol w:w="1242"/>
        <w:gridCol w:w="968"/>
        <w:gridCol w:w="968"/>
        <w:gridCol w:w="968"/>
        <w:gridCol w:w="1425"/>
      </w:tblGrid>
      <w:tr w:rsidR="00BD3166" w14:paraId="283195D0" w14:textId="77777777" w:rsidTr="00E367D8">
        <w:trPr>
          <w:trHeight w:val="276"/>
          <w:tblHeader/>
          <w:jc w:val="center"/>
        </w:trPr>
        <w:tc>
          <w:tcPr>
            <w:tcW w:w="1673" w:type="pct"/>
            <w:tcBorders>
              <w:top w:val="single" w:sz="4" w:space="0" w:color="auto"/>
              <w:left w:val="single" w:sz="4" w:space="0" w:color="auto"/>
              <w:bottom w:val="single" w:sz="4" w:space="0" w:color="auto"/>
              <w:right w:val="single" w:sz="4" w:space="0" w:color="auto"/>
            </w:tcBorders>
            <w:noWrap/>
            <w:vAlign w:val="center"/>
          </w:tcPr>
          <w:p w14:paraId="16530450" w14:textId="77777777" w:rsidR="00BD3166" w:rsidRDefault="00C64679">
            <w:pPr>
              <w:widowControl/>
              <w:jc w:val="center"/>
              <w:rPr>
                <w:rFonts w:ascii="Arial Narrow" w:hAnsi="Arial Narrow" w:cs="宋体"/>
                <w:b/>
                <w:bCs/>
                <w:kern w:val="0"/>
                <w:sz w:val="18"/>
                <w:szCs w:val="18"/>
              </w:rPr>
            </w:pPr>
            <w:r>
              <w:rPr>
                <w:rFonts w:ascii="Arial Narrow" w:hAnsi="Arial Narrow" w:cs="宋体" w:hint="eastAsia"/>
                <w:b/>
                <w:bCs/>
                <w:kern w:val="0"/>
                <w:sz w:val="18"/>
                <w:szCs w:val="18"/>
              </w:rPr>
              <w:t>项目</w:t>
            </w:r>
          </w:p>
        </w:tc>
        <w:tc>
          <w:tcPr>
            <w:tcW w:w="742" w:type="pct"/>
            <w:tcBorders>
              <w:top w:val="single" w:sz="4" w:space="0" w:color="auto"/>
              <w:left w:val="nil"/>
              <w:bottom w:val="single" w:sz="4" w:space="0" w:color="auto"/>
              <w:right w:val="single" w:sz="4" w:space="0" w:color="auto"/>
            </w:tcBorders>
            <w:noWrap/>
            <w:vAlign w:val="center"/>
          </w:tcPr>
          <w:p w14:paraId="09D93207" w14:textId="77777777" w:rsidR="00BD3166" w:rsidRDefault="00C64679">
            <w:pPr>
              <w:widowControl/>
              <w:jc w:val="center"/>
              <w:rPr>
                <w:rFonts w:ascii="Arial Narrow" w:hAnsi="Arial Narrow" w:cs="宋体"/>
                <w:b/>
                <w:bCs/>
                <w:kern w:val="0"/>
                <w:sz w:val="18"/>
                <w:szCs w:val="18"/>
              </w:rPr>
            </w:pPr>
            <w:r>
              <w:rPr>
                <w:rFonts w:ascii="Arial Narrow" w:hAnsi="Arial Narrow" w:cs="宋体" w:hint="eastAsia"/>
                <w:b/>
                <w:bCs/>
                <w:kern w:val="0"/>
                <w:sz w:val="18"/>
                <w:szCs w:val="18"/>
              </w:rPr>
              <w:t>优秀值</w:t>
            </w:r>
          </w:p>
        </w:tc>
        <w:tc>
          <w:tcPr>
            <w:tcW w:w="578" w:type="pct"/>
            <w:tcBorders>
              <w:top w:val="single" w:sz="4" w:space="0" w:color="auto"/>
              <w:left w:val="nil"/>
              <w:bottom w:val="single" w:sz="4" w:space="0" w:color="auto"/>
              <w:right w:val="single" w:sz="4" w:space="0" w:color="auto"/>
            </w:tcBorders>
            <w:noWrap/>
            <w:vAlign w:val="center"/>
          </w:tcPr>
          <w:p w14:paraId="6C60FC86" w14:textId="77777777" w:rsidR="00BD3166" w:rsidRDefault="00C64679">
            <w:pPr>
              <w:widowControl/>
              <w:jc w:val="center"/>
              <w:rPr>
                <w:rFonts w:ascii="Arial Narrow" w:hAnsi="Arial Narrow" w:cs="宋体"/>
                <w:b/>
                <w:bCs/>
                <w:kern w:val="0"/>
                <w:sz w:val="18"/>
                <w:szCs w:val="18"/>
              </w:rPr>
            </w:pPr>
            <w:r>
              <w:rPr>
                <w:rFonts w:ascii="Arial Narrow" w:hAnsi="Arial Narrow" w:cs="宋体" w:hint="eastAsia"/>
                <w:b/>
                <w:bCs/>
                <w:kern w:val="0"/>
                <w:sz w:val="18"/>
                <w:szCs w:val="18"/>
              </w:rPr>
              <w:t>良好值</w:t>
            </w:r>
          </w:p>
        </w:tc>
        <w:tc>
          <w:tcPr>
            <w:tcW w:w="578" w:type="pct"/>
            <w:tcBorders>
              <w:top w:val="single" w:sz="4" w:space="0" w:color="auto"/>
              <w:left w:val="nil"/>
              <w:bottom w:val="single" w:sz="4" w:space="0" w:color="auto"/>
              <w:right w:val="single" w:sz="4" w:space="0" w:color="auto"/>
            </w:tcBorders>
            <w:noWrap/>
            <w:vAlign w:val="center"/>
          </w:tcPr>
          <w:p w14:paraId="5FC4938B" w14:textId="77777777" w:rsidR="00BD3166" w:rsidRDefault="00C64679">
            <w:pPr>
              <w:widowControl/>
              <w:jc w:val="center"/>
              <w:rPr>
                <w:rFonts w:ascii="Arial Narrow" w:hAnsi="Arial Narrow" w:cs="宋体"/>
                <w:b/>
                <w:bCs/>
                <w:kern w:val="0"/>
                <w:sz w:val="18"/>
                <w:szCs w:val="18"/>
              </w:rPr>
            </w:pPr>
            <w:r>
              <w:rPr>
                <w:rFonts w:ascii="Arial Narrow" w:hAnsi="Arial Narrow" w:cs="宋体" w:hint="eastAsia"/>
                <w:b/>
                <w:bCs/>
                <w:kern w:val="0"/>
                <w:sz w:val="18"/>
                <w:szCs w:val="18"/>
              </w:rPr>
              <w:t>平均值</w:t>
            </w:r>
          </w:p>
        </w:tc>
        <w:tc>
          <w:tcPr>
            <w:tcW w:w="578" w:type="pct"/>
            <w:tcBorders>
              <w:top w:val="single" w:sz="4" w:space="0" w:color="auto"/>
              <w:left w:val="nil"/>
              <w:bottom w:val="single" w:sz="4" w:space="0" w:color="auto"/>
              <w:right w:val="single" w:sz="4" w:space="0" w:color="auto"/>
            </w:tcBorders>
            <w:noWrap/>
            <w:vAlign w:val="center"/>
          </w:tcPr>
          <w:p w14:paraId="135D26DF" w14:textId="77777777" w:rsidR="00BD3166" w:rsidRDefault="00C64679">
            <w:pPr>
              <w:widowControl/>
              <w:jc w:val="center"/>
              <w:rPr>
                <w:rFonts w:ascii="Arial Narrow" w:hAnsi="Arial Narrow" w:cs="宋体"/>
                <w:b/>
                <w:bCs/>
                <w:kern w:val="0"/>
                <w:sz w:val="18"/>
                <w:szCs w:val="18"/>
              </w:rPr>
            </w:pPr>
            <w:proofErr w:type="gramStart"/>
            <w:r>
              <w:rPr>
                <w:rFonts w:ascii="Arial Narrow" w:hAnsi="Arial Narrow" w:cs="宋体" w:hint="eastAsia"/>
                <w:b/>
                <w:bCs/>
                <w:kern w:val="0"/>
                <w:sz w:val="18"/>
                <w:szCs w:val="18"/>
              </w:rPr>
              <w:t>较低值</w:t>
            </w:r>
            <w:proofErr w:type="gramEnd"/>
          </w:p>
        </w:tc>
        <w:tc>
          <w:tcPr>
            <w:tcW w:w="851" w:type="pct"/>
            <w:tcBorders>
              <w:top w:val="single" w:sz="4" w:space="0" w:color="auto"/>
              <w:left w:val="nil"/>
              <w:bottom w:val="single" w:sz="4" w:space="0" w:color="auto"/>
              <w:right w:val="single" w:sz="4" w:space="0" w:color="auto"/>
            </w:tcBorders>
            <w:noWrap/>
            <w:vAlign w:val="center"/>
          </w:tcPr>
          <w:p w14:paraId="77A8F7A6" w14:textId="77777777" w:rsidR="00BD3166" w:rsidRDefault="00C64679">
            <w:pPr>
              <w:widowControl/>
              <w:jc w:val="center"/>
              <w:rPr>
                <w:rFonts w:ascii="Arial Narrow" w:hAnsi="Arial Narrow" w:cs="宋体"/>
                <w:b/>
                <w:bCs/>
                <w:kern w:val="0"/>
                <w:sz w:val="18"/>
                <w:szCs w:val="18"/>
              </w:rPr>
            </w:pPr>
            <w:r>
              <w:rPr>
                <w:rFonts w:ascii="Arial Narrow" w:hAnsi="Arial Narrow" w:cs="宋体" w:hint="eastAsia"/>
                <w:b/>
                <w:bCs/>
                <w:kern w:val="0"/>
                <w:sz w:val="18"/>
                <w:szCs w:val="18"/>
              </w:rPr>
              <w:t>较差值</w:t>
            </w:r>
          </w:p>
        </w:tc>
      </w:tr>
      <w:tr w:rsidR="00BD3166" w14:paraId="3A6C7712"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114D25CE" w14:textId="77777777" w:rsidR="00BD3166" w:rsidRDefault="00C64679">
            <w:pPr>
              <w:widowControl/>
              <w:jc w:val="left"/>
              <w:rPr>
                <w:rFonts w:ascii="Arial Narrow" w:hAnsi="Arial Narrow" w:cs="宋体"/>
                <w:b/>
                <w:bCs/>
                <w:kern w:val="0"/>
                <w:sz w:val="18"/>
                <w:szCs w:val="18"/>
              </w:rPr>
            </w:pPr>
            <w:r>
              <w:rPr>
                <w:rFonts w:ascii="Arial Narrow" w:hAnsi="Arial Narrow" w:cs="宋体"/>
                <w:b/>
                <w:bCs/>
                <w:kern w:val="0"/>
                <w:sz w:val="18"/>
                <w:szCs w:val="18"/>
              </w:rPr>
              <w:t>一、盈利能力状况</w:t>
            </w:r>
          </w:p>
        </w:tc>
        <w:tc>
          <w:tcPr>
            <w:tcW w:w="742" w:type="pct"/>
            <w:tcBorders>
              <w:top w:val="nil"/>
              <w:left w:val="nil"/>
              <w:bottom w:val="single" w:sz="4" w:space="0" w:color="auto"/>
              <w:right w:val="single" w:sz="4" w:space="0" w:color="auto"/>
            </w:tcBorders>
            <w:noWrap/>
            <w:vAlign w:val="center"/>
          </w:tcPr>
          <w:p w14:paraId="57B01020" w14:textId="77777777" w:rsidR="00BD3166" w:rsidRDefault="00C64679">
            <w:pPr>
              <w:widowControl/>
              <w:jc w:val="right"/>
              <w:rPr>
                <w:rFonts w:ascii="Arial Narrow" w:hAnsi="Arial Narrow" w:cs="宋体"/>
                <w:kern w:val="0"/>
                <w:sz w:val="18"/>
                <w:szCs w:val="18"/>
              </w:rPr>
            </w:pPr>
            <w:r>
              <w:rPr>
                <w:rFonts w:ascii="Arial Narrow" w:hAnsi="Arial Narrow" w:cs="宋体"/>
                <w:kern w:val="0"/>
                <w:sz w:val="18"/>
                <w:szCs w:val="18"/>
              </w:rPr>
              <w:t xml:space="preserve">　</w:t>
            </w:r>
          </w:p>
        </w:tc>
        <w:tc>
          <w:tcPr>
            <w:tcW w:w="578" w:type="pct"/>
            <w:tcBorders>
              <w:top w:val="nil"/>
              <w:left w:val="nil"/>
              <w:bottom w:val="single" w:sz="4" w:space="0" w:color="auto"/>
              <w:right w:val="single" w:sz="4" w:space="0" w:color="auto"/>
            </w:tcBorders>
            <w:noWrap/>
            <w:vAlign w:val="center"/>
          </w:tcPr>
          <w:p w14:paraId="18676F9F" w14:textId="77777777" w:rsidR="00BD3166" w:rsidRDefault="00C64679">
            <w:pPr>
              <w:widowControl/>
              <w:jc w:val="right"/>
              <w:rPr>
                <w:rFonts w:ascii="Arial Narrow" w:hAnsi="Arial Narrow" w:cs="宋体"/>
                <w:kern w:val="0"/>
                <w:sz w:val="18"/>
                <w:szCs w:val="18"/>
              </w:rPr>
            </w:pPr>
            <w:r>
              <w:rPr>
                <w:rFonts w:ascii="Arial Narrow" w:hAnsi="Arial Narrow" w:cs="宋体"/>
                <w:kern w:val="0"/>
                <w:sz w:val="18"/>
                <w:szCs w:val="18"/>
              </w:rPr>
              <w:t xml:space="preserve">　</w:t>
            </w:r>
          </w:p>
        </w:tc>
        <w:tc>
          <w:tcPr>
            <w:tcW w:w="578" w:type="pct"/>
            <w:tcBorders>
              <w:top w:val="nil"/>
              <w:left w:val="nil"/>
              <w:bottom w:val="single" w:sz="4" w:space="0" w:color="auto"/>
              <w:right w:val="single" w:sz="4" w:space="0" w:color="auto"/>
            </w:tcBorders>
            <w:noWrap/>
            <w:vAlign w:val="center"/>
          </w:tcPr>
          <w:p w14:paraId="5331F1FD" w14:textId="77777777" w:rsidR="00BD3166" w:rsidRDefault="00C64679">
            <w:pPr>
              <w:widowControl/>
              <w:jc w:val="right"/>
              <w:rPr>
                <w:rFonts w:ascii="Arial Narrow" w:hAnsi="Arial Narrow" w:cs="宋体"/>
                <w:kern w:val="0"/>
                <w:sz w:val="18"/>
                <w:szCs w:val="18"/>
              </w:rPr>
            </w:pPr>
            <w:r>
              <w:rPr>
                <w:rFonts w:ascii="Arial Narrow" w:hAnsi="Arial Narrow" w:cs="宋体"/>
                <w:kern w:val="0"/>
                <w:sz w:val="18"/>
                <w:szCs w:val="18"/>
              </w:rPr>
              <w:t xml:space="preserve">　</w:t>
            </w:r>
          </w:p>
        </w:tc>
        <w:tc>
          <w:tcPr>
            <w:tcW w:w="578" w:type="pct"/>
            <w:tcBorders>
              <w:top w:val="nil"/>
              <w:left w:val="nil"/>
              <w:bottom w:val="single" w:sz="4" w:space="0" w:color="auto"/>
              <w:right w:val="single" w:sz="4" w:space="0" w:color="auto"/>
            </w:tcBorders>
            <w:noWrap/>
            <w:vAlign w:val="center"/>
          </w:tcPr>
          <w:p w14:paraId="3E1D5ED6" w14:textId="77777777" w:rsidR="00BD3166" w:rsidRDefault="00C64679">
            <w:pPr>
              <w:widowControl/>
              <w:jc w:val="right"/>
              <w:rPr>
                <w:rFonts w:ascii="Arial Narrow" w:hAnsi="Arial Narrow" w:cs="宋体"/>
                <w:kern w:val="0"/>
                <w:sz w:val="18"/>
                <w:szCs w:val="18"/>
              </w:rPr>
            </w:pPr>
            <w:r>
              <w:rPr>
                <w:rFonts w:ascii="Arial Narrow" w:hAnsi="Arial Narrow" w:cs="宋体"/>
                <w:kern w:val="0"/>
                <w:sz w:val="18"/>
                <w:szCs w:val="18"/>
              </w:rPr>
              <w:t xml:space="preserve">　</w:t>
            </w:r>
          </w:p>
        </w:tc>
        <w:tc>
          <w:tcPr>
            <w:tcW w:w="851" w:type="pct"/>
            <w:tcBorders>
              <w:top w:val="nil"/>
              <w:left w:val="nil"/>
              <w:bottom w:val="single" w:sz="4" w:space="0" w:color="auto"/>
              <w:right w:val="single" w:sz="4" w:space="0" w:color="auto"/>
            </w:tcBorders>
            <w:noWrap/>
            <w:vAlign w:val="center"/>
          </w:tcPr>
          <w:p w14:paraId="07CC0F1D" w14:textId="77777777" w:rsidR="00BD3166" w:rsidRDefault="00C64679">
            <w:pPr>
              <w:widowControl/>
              <w:jc w:val="right"/>
              <w:rPr>
                <w:rFonts w:ascii="Arial Narrow" w:hAnsi="Arial Narrow" w:cs="宋体"/>
                <w:kern w:val="0"/>
                <w:sz w:val="18"/>
                <w:szCs w:val="18"/>
              </w:rPr>
            </w:pPr>
            <w:r>
              <w:rPr>
                <w:rFonts w:ascii="Arial Narrow" w:hAnsi="Arial Narrow" w:cs="宋体"/>
                <w:kern w:val="0"/>
                <w:sz w:val="18"/>
                <w:szCs w:val="18"/>
              </w:rPr>
              <w:t xml:space="preserve">　</w:t>
            </w:r>
          </w:p>
        </w:tc>
      </w:tr>
      <w:tr w:rsidR="00BD3166" w14:paraId="11F81361"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6E20B578" w14:textId="77777777" w:rsidR="00BD3166" w:rsidRDefault="00C64679">
            <w:pPr>
              <w:widowControl/>
              <w:jc w:val="left"/>
              <w:rPr>
                <w:rFonts w:ascii="Arial Narrow" w:hAnsi="Arial Narrow" w:cs="宋体"/>
                <w:kern w:val="0"/>
                <w:sz w:val="18"/>
                <w:szCs w:val="18"/>
              </w:rPr>
            </w:pPr>
            <w:r>
              <w:rPr>
                <w:rFonts w:ascii="Arial Narrow" w:hAnsi="Arial Narrow" w:cs="宋体"/>
                <w:kern w:val="0"/>
                <w:sz w:val="18"/>
                <w:szCs w:val="18"/>
              </w:rPr>
              <w:t>净资产收益率（％）</w:t>
            </w:r>
          </w:p>
        </w:tc>
        <w:tc>
          <w:tcPr>
            <w:tcW w:w="1238" w:type="dxa"/>
            <w:tcBorders>
              <w:top w:val="nil"/>
              <w:left w:val="nil"/>
              <w:bottom w:val="single" w:sz="4" w:space="0" w:color="auto"/>
              <w:right w:val="single" w:sz="4" w:space="0" w:color="auto"/>
            </w:tcBorders>
            <w:noWrap/>
            <w:vAlign w:val="center"/>
          </w:tcPr>
          <w:p w14:paraId="77DEA4D1"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13</w:t>
            </w:r>
          </w:p>
        </w:tc>
        <w:tc>
          <w:tcPr>
            <w:tcW w:w="965" w:type="dxa"/>
            <w:tcBorders>
              <w:top w:val="nil"/>
              <w:left w:val="nil"/>
              <w:bottom w:val="single" w:sz="4" w:space="0" w:color="auto"/>
              <w:right w:val="single" w:sz="4" w:space="0" w:color="auto"/>
            </w:tcBorders>
            <w:noWrap/>
            <w:vAlign w:val="center"/>
          </w:tcPr>
          <w:p w14:paraId="3365D93E"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7.6</w:t>
            </w:r>
          </w:p>
        </w:tc>
        <w:tc>
          <w:tcPr>
            <w:tcW w:w="965" w:type="dxa"/>
            <w:tcBorders>
              <w:top w:val="nil"/>
              <w:left w:val="nil"/>
              <w:bottom w:val="single" w:sz="4" w:space="0" w:color="auto"/>
              <w:right w:val="single" w:sz="4" w:space="0" w:color="auto"/>
            </w:tcBorders>
            <w:noWrap/>
            <w:vAlign w:val="center"/>
          </w:tcPr>
          <w:p w14:paraId="654BE7FA"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4</w:t>
            </w:r>
          </w:p>
        </w:tc>
        <w:tc>
          <w:tcPr>
            <w:tcW w:w="965" w:type="dxa"/>
            <w:tcBorders>
              <w:top w:val="nil"/>
              <w:left w:val="nil"/>
              <w:bottom w:val="single" w:sz="4" w:space="0" w:color="auto"/>
              <w:right w:val="single" w:sz="4" w:space="0" w:color="auto"/>
            </w:tcBorders>
            <w:noWrap/>
            <w:vAlign w:val="center"/>
          </w:tcPr>
          <w:p w14:paraId="2C0F5476"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0.6</w:t>
            </w:r>
          </w:p>
        </w:tc>
        <w:tc>
          <w:tcPr>
            <w:tcW w:w="1420" w:type="dxa"/>
            <w:tcBorders>
              <w:top w:val="nil"/>
              <w:left w:val="nil"/>
              <w:bottom w:val="single" w:sz="4" w:space="0" w:color="auto"/>
              <w:right w:val="single" w:sz="4" w:space="0" w:color="auto"/>
            </w:tcBorders>
            <w:noWrap/>
            <w:vAlign w:val="center"/>
          </w:tcPr>
          <w:p w14:paraId="63280942"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-2.2</w:t>
            </w:r>
          </w:p>
        </w:tc>
      </w:tr>
      <w:tr w:rsidR="00BD3166" w14:paraId="1ABD2E93"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750C2104" w14:textId="77777777" w:rsidR="00BD3166" w:rsidRDefault="00C64679">
            <w:pPr>
              <w:widowControl/>
              <w:jc w:val="left"/>
              <w:rPr>
                <w:rFonts w:ascii="Arial Narrow" w:hAnsi="Arial Narrow" w:cs="宋体"/>
                <w:kern w:val="0"/>
                <w:sz w:val="18"/>
                <w:szCs w:val="18"/>
              </w:rPr>
            </w:pPr>
            <w:r>
              <w:rPr>
                <w:rFonts w:ascii="Arial Narrow" w:hAnsi="Arial Narrow" w:cs="宋体"/>
                <w:kern w:val="0"/>
                <w:sz w:val="18"/>
                <w:szCs w:val="18"/>
              </w:rPr>
              <w:t>总资产报酬率（％）</w:t>
            </w:r>
          </w:p>
        </w:tc>
        <w:tc>
          <w:tcPr>
            <w:tcW w:w="1238" w:type="dxa"/>
            <w:tcBorders>
              <w:top w:val="nil"/>
              <w:left w:val="nil"/>
              <w:bottom w:val="single" w:sz="4" w:space="0" w:color="auto"/>
              <w:right w:val="single" w:sz="4" w:space="0" w:color="auto"/>
            </w:tcBorders>
            <w:noWrap/>
            <w:vAlign w:val="center"/>
          </w:tcPr>
          <w:p w14:paraId="6D5B79CE"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7.6</w:t>
            </w:r>
          </w:p>
        </w:tc>
        <w:tc>
          <w:tcPr>
            <w:tcW w:w="965" w:type="dxa"/>
            <w:tcBorders>
              <w:top w:val="nil"/>
              <w:left w:val="nil"/>
              <w:bottom w:val="single" w:sz="4" w:space="0" w:color="auto"/>
              <w:right w:val="single" w:sz="4" w:space="0" w:color="auto"/>
            </w:tcBorders>
            <w:noWrap/>
            <w:vAlign w:val="center"/>
          </w:tcPr>
          <w:p w14:paraId="695CCEA4"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4.4</w:t>
            </w:r>
          </w:p>
        </w:tc>
        <w:tc>
          <w:tcPr>
            <w:tcW w:w="965" w:type="dxa"/>
            <w:tcBorders>
              <w:top w:val="nil"/>
              <w:left w:val="nil"/>
              <w:bottom w:val="single" w:sz="4" w:space="0" w:color="auto"/>
              <w:right w:val="single" w:sz="4" w:space="0" w:color="auto"/>
            </w:tcBorders>
            <w:noWrap/>
            <w:vAlign w:val="center"/>
          </w:tcPr>
          <w:p w14:paraId="28705EB1"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3.2</w:t>
            </w:r>
          </w:p>
        </w:tc>
        <w:tc>
          <w:tcPr>
            <w:tcW w:w="965" w:type="dxa"/>
            <w:tcBorders>
              <w:top w:val="nil"/>
              <w:left w:val="nil"/>
              <w:bottom w:val="single" w:sz="4" w:space="0" w:color="auto"/>
              <w:right w:val="single" w:sz="4" w:space="0" w:color="auto"/>
            </w:tcBorders>
            <w:noWrap/>
            <w:vAlign w:val="center"/>
          </w:tcPr>
          <w:p w14:paraId="79ED8277"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0.5</w:t>
            </w:r>
          </w:p>
        </w:tc>
        <w:tc>
          <w:tcPr>
            <w:tcW w:w="1420" w:type="dxa"/>
            <w:tcBorders>
              <w:top w:val="nil"/>
              <w:left w:val="nil"/>
              <w:bottom w:val="single" w:sz="4" w:space="0" w:color="auto"/>
              <w:right w:val="single" w:sz="4" w:space="0" w:color="auto"/>
            </w:tcBorders>
            <w:noWrap/>
            <w:vAlign w:val="center"/>
          </w:tcPr>
          <w:p w14:paraId="27B30B17"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-1.6</w:t>
            </w:r>
          </w:p>
        </w:tc>
      </w:tr>
      <w:tr w:rsidR="00BD3166" w14:paraId="0F47BDE3"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66B0803D" w14:textId="77777777" w:rsidR="00BD3166" w:rsidRDefault="00C64679">
            <w:pPr>
              <w:widowControl/>
              <w:jc w:val="left"/>
              <w:rPr>
                <w:rFonts w:ascii="Arial Narrow" w:hAnsi="Arial Narrow" w:cs="宋体"/>
                <w:kern w:val="0"/>
                <w:sz w:val="18"/>
                <w:szCs w:val="18"/>
              </w:rPr>
            </w:pPr>
            <w:r>
              <w:rPr>
                <w:rFonts w:ascii="Arial Narrow" w:hAnsi="Arial Narrow" w:cs="宋体"/>
                <w:kern w:val="0"/>
                <w:sz w:val="18"/>
                <w:szCs w:val="18"/>
              </w:rPr>
              <w:t>销售（营业）利润率（％）</w:t>
            </w:r>
          </w:p>
        </w:tc>
        <w:tc>
          <w:tcPr>
            <w:tcW w:w="1238" w:type="dxa"/>
            <w:tcBorders>
              <w:top w:val="nil"/>
              <w:left w:val="nil"/>
              <w:bottom w:val="single" w:sz="4" w:space="0" w:color="auto"/>
              <w:right w:val="single" w:sz="4" w:space="0" w:color="auto"/>
            </w:tcBorders>
            <w:noWrap/>
            <w:vAlign w:val="center"/>
          </w:tcPr>
          <w:p w14:paraId="1C347EE7"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11.8</w:t>
            </w:r>
          </w:p>
        </w:tc>
        <w:tc>
          <w:tcPr>
            <w:tcW w:w="965" w:type="dxa"/>
            <w:tcBorders>
              <w:top w:val="nil"/>
              <w:left w:val="nil"/>
              <w:bottom w:val="single" w:sz="4" w:space="0" w:color="auto"/>
              <w:right w:val="single" w:sz="4" w:space="0" w:color="auto"/>
            </w:tcBorders>
            <w:noWrap/>
            <w:vAlign w:val="center"/>
          </w:tcPr>
          <w:p w14:paraId="24F5161F"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6</w:t>
            </w:r>
          </w:p>
        </w:tc>
        <w:tc>
          <w:tcPr>
            <w:tcW w:w="965" w:type="dxa"/>
            <w:tcBorders>
              <w:top w:val="nil"/>
              <w:left w:val="nil"/>
              <w:bottom w:val="single" w:sz="4" w:space="0" w:color="auto"/>
              <w:right w:val="single" w:sz="4" w:space="0" w:color="auto"/>
            </w:tcBorders>
            <w:noWrap/>
            <w:vAlign w:val="center"/>
          </w:tcPr>
          <w:p w14:paraId="695E718F"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3.3</w:t>
            </w:r>
          </w:p>
        </w:tc>
        <w:tc>
          <w:tcPr>
            <w:tcW w:w="965" w:type="dxa"/>
            <w:tcBorders>
              <w:top w:val="nil"/>
              <w:left w:val="nil"/>
              <w:bottom w:val="single" w:sz="4" w:space="0" w:color="auto"/>
              <w:right w:val="single" w:sz="4" w:space="0" w:color="auto"/>
            </w:tcBorders>
            <w:noWrap/>
            <w:vAlign w:val="center"/>
          </w:tcPr>
          <w:p w14:paraId="67377408"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-2.7</w:t>
            </w:r>
          </w:p>
        </w:tc>
        <w:tc>
          <w:tcPr>
            <w:tcW w:w="1420" w:type="dxa"/>
            <w:tcBorders>
              <w:top w:val="nil"/>
              <w:left w:val="nil"/>
              <w:bottom w:val="single" w:sz="4" w:space="0" w:color="auto"/>
              <w:right w:val="single" w:sz="4" w:space="0" w:color="auto"/>
            </w:tcBorders>
            <w:noWrap/>
            <w:vAlign w:val="center"/>
          </w:tcPr>
          <w:p w14:paraId="556B4520"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-15.4</w:t>
            </w:r>
          </w:p>
        </w:tc>
      </w:tr>
      <w:tr w:rsidR="00BD3166" w14:paraId="0DB0BD8F"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4E4C5819" w14:textId="77777777" w:rsidR="00BD3166" w:rsidRDefault="00C64679">
            <w:pPr>
              <w:widowControl/>
              <w:jc w:val="left"/>
              <w:rPr>
                <w:rFonts w:ascii="Arial Narrow" w:hAnsi="Arial Narrow" w:cs="宋体"/>
                <w:b/>
                <w:bCs/>
                <w:kern w:val="0"/>
                <w:sz w:val="18"/>
                <w:szCs w:val="18"/>
              </w:rPr>
            </w:pPr>
            <w:r>
              <w:rPr>
                <w:rFonts w:ascii="Arial Narrow" w:hAnsi="Arial Narrow" w:cs="宋体"/>
                <w:b/>
                <w:bCs/>
                <w:kern w:val="0"/>
                <w:sz w:val="18"/>
                <w:szCs w:val="18"/>
              </w:rPr>
              <w:t>二、资产质量状况</w:t>
            </w:r>
          </w:p>
        </w:tc>
        <w:tc>
          <w:tcPr>
            <w:tcW w:w="1238" w:type="dxa"/>
            <w:tcBorders>
              <w:top w:val="nil"/>
              <w:left w:val="nil"/>
              <w:bottom w:val="single" w:sz="4" w:space="0" w:color="auto"/>
              <w:right w:val="single" w:sz="4" w:space="0" w:color="auto"/>
            </w:tcBorders>
            <w:noWrap/>
            <w:vAlign w:val="center"/>
          </w:tcPr>
          <w:p w14:paraId="61DC9E7B" w14:textId="77777777" w:rsidR="00BD3166" w:rsidRDefault="00BD3166">
            <w:pPr>
              <w:jc w:val="right"/>
              <w:rPr>
                <w:rFonts w:ascii="Arial Narrow" w:hAnsi="Arial Narrow" w:cs="宋体"/>
                <w:kern w:val="0"/>
                <w:sz w:val="18"/>
                <w:szCs w:val="18"/>
              </w:rPr>
            </w:pPr>
          </w:p>
        </w:tc>
        <w:tc>
          <w:tcPr>
            <w:tcW w:w="965" w:type="dxa"/>
            <w:tcBorders>
              <w:top w:val="nil"/>
              <w:left w:val="nil"/>
              <w:bottom w:val="single" w:sz="4" w:space="0" w:color="auto"/>
              <w:right w:val="single" w:sz="4" w:space="0" w:color="auto"/>
            </w:tcBorders>
            <w:noWrap/>
            <w:vAlign w:val="center"/>
          </w:tcPr>
          <w:p w14:paraId="67B8C7FF" w14:textId="77777777" w:rsidR="00BD3166" w:rsidRDefault="00BD3166">
            <w:pPr>
              <w:jc w:val="right"/>
              <w:rPr>
                <w:rFonts w:ascii="Arial Narrow" w:hAnsi="Arial Narrow" w:cs="宋体"/>
                <w:kern w:val="0"/>
                <w:sz w:val="18"/>
                <w:szCs w:val="18"/>
              </w:rPr>
            </w:pPr>
          </w:p>
        </w:tc>
        <w:tc>
          <w:tcPr>
            <w:tcW w:w="965" w:type="dxa"/>
            <w:tcBorders>
              <w:top w:val="nil"/>
              <w:left w:val="nil"/>
              <w:bottom w:val="single" w:sz="4" w:space="0" w:color="auto"/>
              <w:right w:val="single" w:sz="4" w:space="0" w:color="auto"/>
            </w:tcBorders>
            <w:noWrap/>
            <w:vAlign w:val="center"/>
          </w:tcPr>
          <w:p w14:paraId="36DD7062" w14:textId="77777777" w:rsidR="00BD3166" w:rsidRDefault="00BD3166">
            <w:pPr>
              <w:jc w:val="right"/>
              <w:rPr>
                <w:rFonts w:ascii="Arial Narrow" w:hAnsi="Arial Narrow" w:cs="宋体"/>
                <w:kern w:val="0"/>
                <w:sz w:val="18"/>
                <w:szCs w:val="18"/>
              </w:rPr>
            </w:pPr>
          </w:p>
        </w:tc>
        <w:tc>
          <w:tcPr>
            <w:tcW w:w="965" w:type="dxa"/>
            <w:tcBorders>
              <w:top w:val="nil"/>
              <w:left w:val="nil"/>
              <w:bottom w:val="single" w:sz="4" w:space="0" w:color="auto"/>
              <w:right w:val="single" w:sz="4" w:space="0" w:color="auto"/>
            </w:tcBorders>
            <w:noWrap/>
            <w:vAlign w:val="center"/>
          </w:tcPr>
          <w:p w14:paraId="682D24E8" w14:textId="77777777" w:rsidR="00BD3166" w:rsidRDefault="00BD3166">
            <w:pPr>
              <w:jc w:val="right"/>
              <w:rPr>
                <w:rFonts w:ascii="Arial Narrow" w:hAnsi="Arial Narrow" w:cs="宋体"/>
                <w:kern w:val="0"/>
                <w:sz w:val="18"/>
                <w:szCs w:val="18"/>
              </w:rPr>
            </w:pPr>
          </w:p>
        </w:tc>
        <w:tc>
          <w:tcPr>
            <w:tcW w:w="1420" w:type="dxa"/>
            <w:tcBorders>
              <w:top w:val="nil"/>
              <w:left w:val="nil"/>
              <w:bottom w:val="single" w:sz="4" w:space="0" w:color="auto"/>
              <w:right w:val="single" w:sz="4" w:space="0" w:color="auto"/>
            </w:tcBorders>
            <w:noWrap/>
            <w:vAlign w:val="center"/>
          </w:tcPr>
          <w:p w14:paraId="26EDD929" w14:textId="77777777" w:rsidR="00BD3166" w:rsidRDefault="00BD3166">
            <w:pPr>
              <w:jc w:val="right"/>
              <w:rPr>
                <w:rFonts w:ascii="Arial Narrow" w:hAnsi="Arial Narrow" w:cs="宋体"/>
                <w:kern w:val="0"/>
                <w:sz w:val="18"/>
                <w:szCs w:val="18"/>
              </w:rPr>
            </w:pPr>
          </w:p>
        </w:tc>
      </w:tr>
      <w:tr w:rsidR="00BD3166" w14:paraId="3AA89E97"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5064CB40" w14:textId="77777777" w:rsidR="00BD3166" w:rsidRDefault="00C64679">
            <w:pPr>
              <w:widowControl/>
              <w:jc w:val="left"/>
              <w:rPr>
                <w:rFonts w:ascii="Arial Narrow" w:hAnsi="Arial Narrow" w:cs="宋体"/>
                <w:kern w:val="0"/>
                <w:sz w:val="18"/>
                <w:szCs w:val="18"/>
              </w:rPr>
            </w:pPr>
            <w:r>
              <w:rPr>
                <w:rFonts w:ascii="Arial Narrow" w:hAnsi="Arial Narrow" w:cs="宋体"/>
                <w:kern w:val="0"/>
                <w:sz w:val="18"/>
                <w:szCs w:val="18"/>
              </w:rPr>
              <w:t>总资产周转率（次）</w:t>
            </w:r>
          </w:p>
        </w:tc>
        <w:tc>
          <w:tcPr>
            <w:tcW w:w="1238" w:type="dxa"/>
            <w:tcBorders>
              <w:top w:val="nil"/>
              <w:left w:val="nil"/>
              <w:bottom w:val="single" w:sz="4" w:space="0" w:color="auto"/>
              <w:right w:val="single" w:sz="4" w:space="0" w:color="auto"/>
            </w:tcBorders>
            <w:noWrap/>
            <w:vAlign w:val="center"/>
          </w:tcPr>
          <w:p w14:paraId="45D627D9"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1.1</w:t>
            </w:r>
          </w:p>
        </w:tc>
        <w:tc>
          <w:tcPr>
            <w:tcW w:w="965" w:type="dxa"/>
            <w:tcBorders>
              <w:top w:val="nil"/>
              <w:left w:val="nil"/>
              <w:bottom w:val="single" w:sz="4" w:space="0" w:color="auto"/>
              <w:right w:val="single" w:sz="4" w:space="0" w:color="auto"/>
            </w:tcBorders>
            <w:noWrap/>
            <w:vAlign w:val="center"/>
          </w:tcPr>
          <w:p w14:paraId="43C38241"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0.8</w:t>
            </w:r>
          </w:p>
        </w:tc>
        <w:tc>
          <w:tcPr>
            <w:tcW w:w="965" w:type="dxa"/>
            <w:tcBorders>
              <w:top w:val="nil"/>
              <w:left w:val="nil"/>
              <w:bottom w:val="single" w:sz="4" w:space="0" w:color="auto"/>
              <w:right w:val="single" w:sz="4" w:space="0" w:color="auto"/>
            </w:tcBorders>
            <w:noWrap/>
            <w:vAlign w:val="center"/>
          </w:tcPr>
          <w:p w14:paraId="3E68C9F6"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0.7</w:t>
            </w:r>
          </w:p>
        </w:tc>
        <w:tc>
          <w:tcPr>
            <w:tcW w:w="965" w:type="dxa"/>
            <w:tcBorders>
              <w:top w:val="nil"/>
              <w:left w:val="nil"/>
              <w:bottom w:val="single" w:sz="4" w:space="0" w:color="auto"/>
              <w:right w:val="single" w:sz="4" w:space="0" w:color="auto"/>
            </w:tcBorders>
            <w:noWrap/>
            <w:vAlign w:val="center"/>
          </w:tcPr>
          <w:p w14:paraId="5518ADBE"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0.6</w:t>
            </w:r>
          </w:p>
        </w:tc>
        <w:tc>
          <w:tcPr>
            <w:tcW w:w="1420" w:type="dxa"/>
            <w:tcBorders>
              <w:top w:val="nil"/>
              <w:left w:val="nil"/>
              <w:bottom w:val="single" w:sz="4" w:space="0" w:color="auto"/>
              <w:right w:val="single" w:sz="4" w:space="0" w:color="auto"/>
            </w:tcBorders>
            <w:noWrap/>
            <w:vAlign w:val="center"/>
          </w:tcPr>
          <w:p w14:paraId="2ECE47E3"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0.5</w:t>
            </w:r>
          </w:p>
        </w:tc>
      </w:tr>
      <w:tr w:rsidR="00BD3166" w14:paraId="7A853989"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71D8D980" w14:textId="77777777" w:rsidR="00BD3166" w:rsidRDefault="00C64679">
            <w:pPr>
              <w:widowControl/>
              <w:jc w:val="left"/>
              <w:rPr>
                <w:rFonts w:ascii="Arial Narrow" w:hAnsi="Arial Narrow" w:cs="宋体"/>
                <w:kern w:val="0"/>
                <w:sz w:val="18"/>
                <w:szCs w:val="18"/>
              </w:rPr>
            </w:pPr>
            <w:r>
              <w:rPr>
                <w:rFonts w:ascii="Arial Narrow" w:hAnsi="Arial Narrow" w:cs="宋体"/>
                <w:kern w:val="0"/>
                <w:sz w:val="18"/>
                <w:szCs w:val="18"/>
              </w:rPr>
              <w:lastRenderedPageBreak/>
              <w:t>应收账款周转率（次）</w:t>
            </w:r>
          </w:p>
        </w:tc>
        <w:tc>
          <w:tcPr>
            <w:tcW w:w="1238" w:type="dxa"/>
            <w:tcBorders>
              <w:top w:val="nil"/>
              <w:left w:val="nil"/>
              <w:bottom w:val="single" w:sz="4" w:space="0" w:color="auto"/>
              <w:right w:val="single" w:sz="4" w:space="0" w:color="auto"/>
            </w:tcBorders>
            <w:noWrap/>
            <w:vAlign w:val="center"/>
          </w:tcPr>
          <w:p w14:paraId="271CEAC1"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14.4</w:t>
            </w:r>
          </w:p>
        </w:tc>
        <w:tc>
          <w:tcPr>
            <w:tcW w:w="965" w:type="dxa"/>
            <w:tcBorders>
              <w:top w:val="nil"/>
              <w:left w:val="nil"/>
              <w:bottom w:val="single" w:sz="4" w:space="0" w:color="auto"/>
              <w:right w:val="single" w:sz="4" w:space="0" w:color="auto"/>
            </w:tcBorders>
            <w:noWrap/>
            <w:vAlign w:val="center"/>
          </w:tcPr>
          <w:p w14:paraId="1B66AD48"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10.1</w:t>
            </w:r>
          </w:p>
        </w:tc>
        <w:tc>
          <w:tcPr>
            <w:tcW w:w="965" w:type="dxa"/>
            <w:tcBorders>
              <w:top w:val="nil"/>
              <w:left w:val="nil"/>
              <w:bottom w:val="single" w:sz="4" w:space="0" w:color="auto"/>
              <w:right w:val="single" w:sz="4" w:space="0" w:color="auto"/>
            </w:tcBorders>
            <w:noWrap/>
            <w:vAlign w:val="center"/>
          </w:tcPr>
          <w:p w14:paraId="4D125B5A"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8.2</w:t>
            </w:r>
          </w:p>
        </w:tc>
        <w:tc>
          <w:tcPr>
            <w:tcW w:w="965" w:type="dxa"/>
            <w:tcBorders>
              <w:top w:val="nil"/>
              <w:left w:val="nil"/>
              <w:bottom w:val="single" w:sz="4" w:space="0" w:color="auto"/>
              <w:right w:val="single" w:sz="4" w:space="0" w:color="auto"/>
            </w:tcBorders>
            <w:noWrap/>
            <w:vAlign w:val="center"/>
          </w:tcPr>
          <w:p w14:paraId="54476E60"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6.2</w:t>
            </w:r>
          </w:p>
        </w:tc>
        <w:tc>
          <w:tcPr>
            <w:tcW w:w="1420" w:type="dxa"/>
            <w:tcBorders>
              <w:top w:val="nil"/>
              <w:left w:val="nil"/>
              <w:bottom w:val="single" w:sz="4" w:space="0" w:color="auto"/>
              <w:right w:val="single" w:sz="4" w:space="0" w:color="auto"/>
            </w:tcBorders>
            <w:noWrap/>
            <w:vAlign w:val="center"/>
          </w:tcPr>
          <w:p w14:paraId="53623B2E"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3.6</w:t>
            </w:r>
          </w:p>
        </w:tc>
      </w:tr>
      <w:tr w:rsidR="00BD3166" w14:paraId="444D503E"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63FD3733" w14:textId="77777777" w:rsidR="00BD3166" w:rsidRDefault="00C64679">
            <w:pPr>
              <w:widowControl/>
              <w:jc w:val="left"/>
              <w:rPr>
                <w:rFonts w:ascii="Arial Narrow" w:hAnsi="Arial Narrow" w:cs="宋体"/>
                <w:b/>
                <w:bCs/>
                <w:kern w:val="0"/>
                <w:sz w:val="18"/>
                <w:szCs w:val="18"/>
              </w:rPr>
            </w:pPr>
            <w:r>
              <w:rPr>
                <w:rFonts w:ascii="Arial Narrow" w:hAnsi="Arial Narrow" w:cs="宋体"/>
                <w:b/>
                <w:bCs/>
                <w:kern w:val="0"/>
                <w:sz w:val="18"/>
                <w:szCs w:val="18"/>
              </w:rPr>
              <w:t>三、债务风险状况</w:t>
            </w:r>
          </w:p>
        </w:tc>
        <w:tc>
          <w:tcPr>
            <w:tcW w:w="1238" w:type="dxa"/>
            <w:tcBorders>
              <w:top w:val="nil"/>
              <w:left w:val="nil"/>
              <w:bottom w:val="single" w:sz="4" w:space="0" w:color="auto"/>
              <w:right w:val="single" w:sz="4" w:space="0" w:color="auto"/>
            </w:tcBorders>
            <w:noWrap/>
            <w:vAlign w:val="center"/>
          </w:tcPr>
          <w:p w14:paraId="043B983E" w14:textId="77777777" w:rsidR="00BD3166" w:rsidRDefault="00BD3166">
            <w:pPr>
              <w:jc w:val="right"/>
              <w:rPr>
                <w:rFonts w:ascii="Arial Narrow" w:hAnsi="Arial Narrow" w:cs="宋体"/>
                <w:kern w:val="0"/>
                <w:sz w:val="18"/>
                <w:szCs w:val="18"/>
              </w:rPr>
            </w:pPr>
          </w:p>
        </w:tc>
        <w:tc>
          <w:tcPr>
            <w:tcW w:w="965" w:type="dxa"/>
            <w:tcBorders>
              <w:top w:val="nil"/>
              <w:left w:val="nil"/>
              <w:bottom w:val="single" w:sz="4" w:space="0" w:color="auto"/>
              <w:right w:val="single" w:sz="4" w:space="0" w:color="auto"/>
            </w:tcBorders>
            <w:noWrap/>
            <w:vAlign w:val="center"/>
          </w:tcPr>
          <w:p w14:paraId="7D4C2789" w14:textId="77777777" w:rsidR="00BD3166" w:rsidRDefault="00BD3166">
            <w:pPr>
              <w:jc w:val="right"/>
              <w:rPr>
                <w:rFonts w:ascii="Arial Narrow" w:hAnsi="Arial Narrow" w:cs="宋体"/>
                <w:kern w:val="0"/>
                <w:sz w:val="18"/>
                <w:szCs w:val="18"/>
              </w:rPr>
            </w:pPr>
          </w:p>
        </w:tc>
        <w:tc>
          <w:tcPr>
            <w:tcW w:w="965" w:type="dxa"/>
            <w:tcBorders>
              <w:top w:val="nil"/>
              <w:left w:val="nil"/>
              <w:bottom w:val="single" w:sz="4" w:space="0" w:color="auto"/>
              <w:right w:val="single" w:sz="4" w:space="0" w:color="auto"/>
            </w:tcBorders>
            <w:noWrap/>
            <w:vAlign w:val="center"/>
          </w:tcPr>
          <w:p w14:paraId="6D95A8A1" w14:textId="77777777" w:rsidR="00BD3166" w:rsidRDefault="00BD3166">
            <w:pPr>
              <w:jc w:val="right"/>
              <w:rPr>
                <w:rFonts w:ascii="Arial Narrow" w:hAnsi="Arial Narrow" w:cs="宋体"/>
                <w:kern w:val="0"/>
                <w:sz w:val="18"/>
                <w:szCs w:val="18"/>
              </w:rPr>
            </w:pPr>
          </w:p>
        </w:tc>
        <w:tc>
          <w:tcPr>
            <w:tcW w:w="965" w:type="dxa"/>
            <w:tcBorders>
              <w:top w:val="nil"/>
              <w:left w:val="nil"/>
              <w:bottom w:val="single" w:sz="4" w:space="0" w:color="auto"/>
              <w:right w:val="single" w:sz="4" w:space="0" w:color="auto"/>
            </w:tcBorders>
            <w:noWrap/>
            <w:vAlign w:val="center"/>
          </w:tcPr>
          <w:p w14:paraId="21731E0E" w14:textId="77777777" w:rsidR="00BD3166" w:rsidRDefault="00BD3166">
            <w:pPr>
              <w:jc w:val="right"/>
              <w:rPr>
                <w:rFonts w:ascii="Arial Narrow" w:hAnsi="Arial Narrow" w:cs="宋体"/>
                <w:kern w:val="0"/>
                <w:sz w:val="18"/>
                <w:szCs w:val="18"/>
              </w:rPr>
            </w:pPr>
          </w:p>
        </w:tc>
        <w:tc>
          <w:tcPr>
            <w:tcW w:w="1420" w:type="dxa"/>
            <w:tcBorders>
              <w:top w:val="nil"/>
              <w:left w:val="nil"/>
              <w:bottom w:val="single" w:sz="4" w:space="0" w:color="auto"/>
              <w:right w:val="single" w:sz="4" w:space="0" w:color="auto"/>
            </w:tcBorders>
            <w:noWrap/>
            <w:vAlign w:val="center"/>
          </w:tcPr>
          <w:p w14:paraId="5854B269" w14:textId="77777777" w:rsidR="00BD3166" w:rsidRDefault="00BD3166">
            <w:pPr>
              <w:jc w:val="right"/>
              <w:rPr>
                <w:rFonts w:ascii="Arial Narrow" w:hAnsi="Arial Narrow" w:cs="宋体"/>
                <w:kern w:val="0"/>
                <w:sz w:val="18"/>
                <w:szCs w:val="18"/>
              </w:rPr>
            </w:pPr>
          </w:p>
        </w:tc>
      </w:tr>
      <w:tr w:rsidR="00BD3166" w14:paraId="454EC564"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650C3C27" w14:textId="77777777" w:rsidR="00BD3166" w:rsidRDefault="00C64679">
            <w:pPr>
              <w:widowControl/>
              <w:jc w:val="left"/>
              <w:rPr>
                <w:rFonts w:ascii="Arial Narrow" w:hAnsi="Arial Narrow" w:cs="宋体"/>
                <w:kern w:val="0"/>
                <w:sz w:val="18"/>
                <w:szCs w:val="18"/>
              </w:rPr>
            </w:pPr>
            <w:r>
              <w:rPr>
                <w:rFonts w:ascii="Arial Narrow" w:hAnsi="Arial Narrow" w:cs="宋体"/>
                <w:kern w:val="0"/>
                <w:sz w:val="18"/>
                <w:szCs w:val="18"/>
              </w:rPr>
              <w:t>资产负债率（％）</w:t>
            </w:r>
          </w:p>
        </w:tc>
        <w:tc>
          <w:tcPr>
            <w:tcW w:w="1238" w:type="dxa"/>
            <w:tcBorders>
              <w:top w:val="nil"/>
              <w:left w:val="nil"/>
              <w:bottom w:val="single" w:sz="4" w:space="0" w:color="auto"/>
              <w:right w:val="single" w:sz="4" w:space="0" w:color="auto"/>
            </w:tcBorders>
            <w:noWrap/>
            <w:vAlign w:val="center"/>
          </w:tcPr>
          <w:p w14:paraId="216C9802"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53.6</w:t>
            </w:r>
          </w:p>
        </w:tc>
        <w:tc>
          <w:tcPr>
            <w:tcW w:w="965" w:type="dxa"/>
            <w:tcBorders>
              <w:top w:val="nil"/>
              <w:left w:val="nil"/>
              <w:bottom w:val="single" w:sz="4" w:space="0" w:color="auto"/>
              <w:right w:val="single" w:sz="4" w:space="0" w:color="auto"/>
            </w:tcBorders>
            <w:noWrap/>
            <w:vAlign w:val="center"/>
          </w:tcPr>
          <w:p w14:paraId="5E105785"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58.6</w:t>
            </w:r>
          </w:p>
        </w:tc>
        <w:tc>
          <w:tcPr>
            <w:tcW w:w="965" w:type="dxa"/>
            <w:tcBorders>
              <w:top w:val="nil"/>
              <w:left w:val="nil"/>
              <w:bottom w:val="single" w:sz="4" w:space="0" w:color="auto"/>
              <w:right w:val="single" w:sz="4" w:space="0" w:color="auto"/>
            </w:tcBorders>
            <w:noWrap/>
            <w:vAlign w:val="center"/>
          </w:tcPr>
          <w:p w14:paraId="33FA7E81"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63.6</w:t>
            </w:r>
          </w:p>
        </w:tc>
        <w:tc>
          <w:tcPr>
            <w:tcW w:w="965" w:type="dxa"/>
            <w:tcBorders>
              <w:top w:val="nil"/>
              <w:left w:val="nil"/>
              <w:bottom w:val="single" w:sz="4" w:space="0" w:color="auto"/>
              <w:right w:val="single" w:sz="4" w:space="0" w:color="auto"/>
            </w:tcBorders>
            <w:noWrap/>
            <w:vAlign w:val="center"/>
          </w:tcPr>
          <w:p w14:paraId="2BD3F800"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73.6</w:t>
            </w:r>
          </w:p>
        </w:tc>
        <w:tc>
          <w:tcPr>
            <w:tcW w:w="1420" w:type="dxa"/>
            <w:tcBorders>
              <w:top w:val="nil"/>
              <w:left w:val="nil"/>
              <w:bottom w:val="single" w:sz="4" w:space="0" w:color="auto"/>
              <w:right w:val="single" w:sz="4" w:space="0" w:color="auto"/>
            </w:tcBorders>
            <w:noWrap/>
            <w:vAlign w:val="center"/>
          </w:tcPr>
          <w:p w14:paraId="7DDDE95E"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88.6</w:t>
            </w:r>
          </w:p>
        </w:tc>
      </w:tr>
      <w:tr w:rsidR="00BD3166" w14:paraId="0E0C6993"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79F76C1C" w14:textId="77777777" w:rsidR="00BD3166" w:rsidRDefault="00C64679">
            <w:pPr>
              <w:widowControl/>
              <w:jc w:val="left"/>
              <w:rPr>
                <w:rFonts w:ascii="Arial Narrow" w:hAnsi="Arial Narrow" w:cs="宋体"/>
                <w:kern w:val="0"/>
                <w:sz w:val="18"/>
                <w:szCs w:val="18"/>
              </w:rPr>
            </w:pPr>
            <w:r>
              <w:rPr>
                <w:rFonts w:ascii="Arial Narrow" w:hAnsi="Arial Narrow" w:cs="宋体"/>
                <w:kern w:val="0"/>
                <w:sz w:val="18"/>
                <w:szCs w:val="18"/>
              </w:rPr>
              <w:t>速动比率</w:t>
            </w:r>
          </w:p>
        </w:tc>
        <w:tc>
          <w:tcPr>
            <w:tcW w:w="1238" w:type="dxa"/>
            <w:tcBorders>
              <w:top w:val="nil"/>
              <w:left w:val="nil"/>
              <w:bottom w:val="single" w:sz="4" w:space="0" w:color="auto"/>
              <w:right w:val="single" w:sz="4" w:space="0" w:color="auto"/>
            </w:tcBorders>
            <w:noWrap/>
            <w:vAlign w:val="center"/>
          </w:tcPr>
          <w:p w14:paraId="23FB65C2"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146.5</w:t>
            </w:r>
          </w:p>
        </w:tc>
        <w:tc>
          <w:tcPr>
            <w:tcW w:w="965" w:type="dxa"/>
            <w:tcBorders>
              <w:top w:val="nil"/>
              <w:left w:val="nil"/>
              <w:bottom w:val="single" w:sz="4" w:space="0" w:color="auto"/>
              <w:right w:val="single" w:sz="4" w:space="0" w:color="auto"/>
            </w:tcBorders>
            <w:noWrap/>
            <w:vAlign w:val="center"/>
          </w:tcPr>
          <w:p w14:paraId="7E7B996A"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116.5</w:t>
            </w:r>
          </w:p>
        </w:tc>
        <w:tc>
          <w:tcPr>
            <w:tcW w:w="965" w:type="dxa"/>
            <w:tcBorders>
              <w:top w:val="nil"/>
              <w:left w:val="nil"/>
              <w:bottom w:val="single" w:sz="4" w:space="0" w:color="auto"/>
              <w:right w:val="single" w:sz="4" w:space="0" w:color="auto"/>
            </w:tcBorders>
            <w:noWrap/>
            <w:vAlign w:val="center"/>
          </w:tcPr>
          <w:p w14:paraId="66B984D2"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75.1</w:t>
            </w:r>
          </w:p>
        </w:tc>
        <w:tc>
          <w:tcPr>
            <w:tcW w:w="965" w:type="dxa"/>
            <w:tcBorders>
              <w:top w:val="nil"/>
              <w:left w:val="nil"/>
              <w:bottom w:val="single" w:sz="4" w:space="0" w:color="auto"/>
              <w:right w:val="single" w:sz="4" w:space="0" w:color="auto"/>
            </w:tcBorders>
            <w:noWrap/>
            <w:vAlign w:val="center"/>
          </w:tcPr>
          <w:p w14:paraId="76295C4E"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56.4</w:t>
            </w:r>
          </w:p>
        </w:tc>
        <w:tc>
          <w:tcPr>
            <w:tcW w:w="1420" w:type="dxa"/>
            <w:tcBorders>
              <w:top w:val="nil"/>
              <w:left w:val="nil"/>
              <w:bottom w:val="single" w:sz="4" w:space="0" w:color="auto"/>
              <w:right w:val="single" w:sz="4" w:space="0" w:color="auto"/>
            </w:tcBorders>
            <w:noWrap/>
            <w:vAlign w:val="center"/>
          </w:tcPr>
          <w:p w14:paraId="2BC70B62"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41</w:t>
            </w:r>
          </w:p>
        </w:tc>
      </w:tr>
      <w:tr w:rsidR="00BD3166" w14:paraId="6357F16E"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0D3ADE02" w14:textId="77777777" w:rsidR="00BD3166" w:rsidRDefault="00C64679">
            <w:pPr>
              <w:widowControl/>
              <w:jc w:val="left"/>
              <w:rPr>
                <w:rFonts w:ascii="Arial Narrow" w:hAnsi="Arial Narrow" w:cs="宋体"/>
                <w:b/>
                <w:bCs/>
                <w:kern w:val="0"/>
                <w:sz w:val="18"/>
                <w:szCs w:val="18"/>
              </w:rPr>
            </w:pPr>
            <w:r>
              <w:rPr>
                <w:rFonts w:ascii="Arial Narrow" w:hAnsi="Arial Narrow" w:cs="宋体"/>
                <w:b/>
                <w:bCs/>
                <w:kern w:val="0"/>
                <w:sz w:val="18"/>
                <w:szCs w:val="18"/>
              </w:rPr>
              <w:t>四、经营增长状况</w:t>
            </w:r>
          </w:p>
        </w:tc>
        <w:tc>
          <w:tcPr>
            <w:tcW w:w="1238" w:type="dxa"/>
            <w:tcBorders>
              <w:top w:val="nil"/>
              <w:left w:val="nil"/>
              <w:bottom w:val="single" w:sz="4" w:space="0" w:color="auto"/>
              <w:right w:val="single" w:sz="4" w:space="0" w:color="auto"/>
            </w:tcBorders>
            <w:noWrap/>
            <w:vAlign w:val="center"/>
          </w:tcPr>
          <w:p w14:paraId="2663AFA5" w14:textId="77777777" w:rsidR="00BD3166" w:rsidRDefault="00BD3166">
            <w:pPr>
              <w:jc w:val="right"/>
              <w:rPr>
                <w:rFonts w:ascii="Arial Narrow" w:hAnsi="Arial Narrow" w:cs="宋体"/>
                <w:kern w:val="0"/>
                <w:sz w:val="18"/>
                <w:szCs w:val="18"/>
              </w:rPr>
            </w:pPr>
          </w:p>
        </w:tc>
        <w:tc>
          <w:tcPr>
            <w:tcW w:w="965" w:type="dxa"/>
            <w:tcBorders>
              <w:top w:val="nil"/>
              <w:left w:val="nil"/>
              <w:bottom w:val="single" w:sz="4" w:space="0" w:color="auto"/>
              <w:right w:val="single" w:sz="4" w:space="0" w:color="auto"/>
            </w:tcBorders>
            <w:noWrap/>
            <w:vAlign w:val="center"/>
          </w:tcPr>
          <w:p w14:paraId="59561A44" w14:textId="77777777" w:rsidR="00BD3166" w:rsidRDefault="00BD3166">
            <w:pPr>
              <w:jc w:val="right"/>
              <w:rPr>
                <w:rFonts w:ascii="Arial Narrow" w:hAnsi="Arial Narrow" w:cs="宋体"/>
                <w:kern w:val="0"/>
                <w:sz w:val="18"/>
                <w:szCs w:val="18"/>
              </w:rPr>
            </w:pPr>
          </w:p>
        </w:tc>
        <w:tc>
          <w:tcPr>
            <w:tcW w:w="965" w:type="dxa"/>
            <w:tcBorders>
              <w:top w:val="nil"/>
              <w:left w:val="nil"/>
              <w:bottom w:val="single" w:sz="4" w:space="0" w:color="auto"/>
              <w:right w:val="single" w:sz="4" w:space="0" w:color="auto"/>
            </w:tcBorders>
            <w:noWrap/>
            <w:vAlign w:val="center"/>
          </w:tcPr>
          <w:p w14:paraId="573A8DED" w14:textId="77777777" w:rsidR="00BD3166" w:rsidRDefault="00BD3166">
            <w:pPr>
              <w:jc w:val="right"/>
              <w:rPr>
                <w:rFonts w:ascii="Arial Narrow" w:hAnsi="Arial Narrow" w:cs="宋体"/>
                <w:kern w:val="0"/>
                <w:sz w:val="18"/>
                <w:szCs w:val="18"/>
              </w:rPr>
            </w:pPr>
          </w:p>
        </w:tc>
        <w:tc>
          <w:tcPr>
            <w:tcW w:w="965" w:type="dxa"/>
            <w:tcBorders>
              <w:top w:val="nil"/>
              <w:left w:val="nil"/>
              <w:bottom w:val="single" w:sz="4" w:space="0" w:color="auto"/>
              <w:right w:val="single" w:sz="4" w:space="0" w:color="auto"/>
            </w:tcBorders>
            <w:noWrap/>
            <w:vAlign w:val="center"/>
          </w:tcPr>
          <w:p w14:paraId="7C639429" w14:textId="77777777" w:rsidR="00BD3166" w:rsidRDefault="00BD3166">
            <w:pPr>
              <w:jc w:val="right"/>
              <w:rPr>
                <w:rFonts w:ascii="Arial Narrow" w:hAnsi="Arial Narrow" w:cs="宋体"/>
                <w:kern w:val="0"/>
                <w:sz w:val="18"/>
                <w:szCs w:val="18"/>
              </w:rPr>
            </w:pPr>
          </w:p>
        </w:tc>
        <w:tc>
          <w:tcPr>
            <w:tcW w:w="1420" w:type="dxa"/>
            <w:tcBorders>
              <w:top w:val="nil"/>
              <w:left w:val="nil"/>
              <w:bottom w:val="single" w:sz="4" w:space="0" w:color="auto"/>
              <w:right w:val="single" w:sz="4" w:space="0" w:color="auto"/>
            </w:tcBorders>
            <w:noWrap/>
            <w:vAlign w:val="center"/>
          </w:tcPr>
          <w:p w14:paraId="1337EBA6" w14:textId="77777777" w:rsidR="00BD3166" w:rsidRDefault="00BD3166">
            <w:pPr>
              <w:jc w:val="right"/>
              <w:rPr>
                <w:rFonts w:ascii="Arial Narrow" w:hAnsi="Arial Narrow" w:cs="宋体"/>
                <w:kern w:val="0"/>
                <w:sz w:val="18"/>
                <w:szCs w:val="18"/>
              </w:rPr>
            </w:pPr>
          </w:p>
        </w:tc>
      </w:tr>
      <w:tr w:rsidR="00BD3166" w14:paraId="48F8A732"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3FD5F6A8" w14:textId="77777777" w:rsidR="00BD3166" w:rsidRDefault="00C64679">
            <w:pPr>
              <w:widowControl/>
              <w:jc w:val="left"/>
              <w:rPr>
                <w:rFonts w:ascii="Arial Narrow" w:hAnsi="Arial Narrow" w:cs="宋体"/>
                <w:kern w:val="0"/>
                <w:sz w:val="18"/>
                <w:szCs w:val="18"/>
              </w:rPr>
            </w:pPr>
            <w:r>
              <w:rPr>
                <w:rFonts w:ascii="Arial Narrow" w:hAnsi="Arial Narrow" w:cs="宋体"/>
                <w:kern w:val="0"/>
                <w:sz w:val="18"/>
                <w:szCs w:val="18"/>
              </w:rPr>
              <w:t>销售（营业）增长率（％）</w:t>
            </w:r>
          </w:p>
        </w:tc>
        <w:tc>
          <w:tcPr>
            <w:tcW w:w="1238" w:type="dxa"/>
            <w:tcBorders>
              <w:top w:val="nil"/>
              <w:left w:val="nil"/>
              <w:bottom w:val="single" w:sz="4" w:space="0" w:color="auto"/>
              <w:right w:val="single" w:sz="4" w:space="0" w:color="auto"/>
            </w:tcBorders>
            <w:noWrap/>
            <w:vAlign w:val="center"/>
          </w:tcPr>
          <w:p w14:paraId="0E6461E0"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5.3</w:t>
            </w:r>
          </w:p>
        </w:tc>
        <w:tc>
          <w:tcPr>
            <w:tcW w:w="965" w:type="dxa"/>
            <w:tcBorders>
              <w:top w:val="nil"/>
              <w:left w:val="nil"/>
              <w:bottom w:val="single" w:sz="4" w:space="0" w:color="auto"/>
              <w:right w:val="single" w:sz="4" w:space="0" w:color="auto"/>
            </w:tcBorders>
            <w:noWrap/>
            <w:vAlign w:val="center"/>
          </w:tcPr>
          <w:p w14:paraId="3C0B95DB"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3.9</w:t>
            </w:r>
          </w:p>
        </w:tc>
        <w:tc>
          <w:tcPr>
            <w:tcW w:w="965" w:type="dxa"/>
            <w:tcBorders>
              <w:top w:val="nil"/>
              <w:left w:val="nil"/>
              <w:bottom w:val="single" w:sz="4" w:space="0" w:color="auto"/>
              <w:right w:val="single" w:sz="4" w:space="0" w:color="auto"/>
            </w:tcBorders>
            <w:noWrap/>
            <w:vAlign w:val="center"/>
          </w:tcPr>
          <w:p w14:paraId="2380D757"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1.3</w:t>
            </w:r>
          </w:p>
        </w:tc>
        <w:tc>
          <w:tcPr>
            <w:tcW w:w="965" w:type="dxa"/>
            <w:tcBorders>
              <w:top w:val="nil"/>
              <w:left w:val="nil"/>
              <w:bottom w:val="single" w:sz="4" w:space="0" w:color="auto"/>
              <w:right w:val="single" w:sz="4" w:space="0" w:color="auto"/>
            </w:tcBorders>
            <w:noWrap/>
            <w:vAlign w:val="center"/>
          </w:tcPr>
          <w:p w14:paraId="20D1E3D9"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-4.3</w:t>
            </w:r>
          </w:p>
        </w:tc>
        <w:tc>
          <w:tcPr>
            <w:tcW w:w="1420" w:type="dxa"/>
            <w:tcBorders>
              <w:top w:val="nil"/>
              <w:left w:val="nil"/>
              <w:bottom w:val="single" w:sz="4" w:space="0" w:color="auto"/>
              <w:right w:val="single" w:sz="4" w:space="0" w:color="auto"/>
            </w:tcBorders>
            <w:noWrap/>
            <w:vAlign w:val="center"/>
          </w:tcPr>
          <w:p w14:paraId="2F1EBAFF"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-8.9</w:t>
            </w:r>
          </w:p>
        </w:tc>
      </w:tr>
      <w:tr w:rsidR="00BD3166" w14:paraId="41E76FAA"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06330BD9" w14:textId="77777777" w:rsidR="00BD3166" w:rsidRDefault="00C64679">
            <w:pPr>
              <w:widowControl/>
              <w:jc w:val="left"/>
              <w:rPr>
                <w:rFonts w:ascii="Arial Narrow" w:hAnsi="Arial Narrow" w:cs="宋体"/>
                <w:kern w:val="0"/>
                <w:sz w:val="18"/>
                <w:szCs w:val="18"/>
              </w:rPr>
            </w:pPr>
            <w:r>
              <w:rPr>
                <w:rFonts w:ascii="Arial Narrow" w:hAnsi="Arial Narrow" w:cs="宋体"/>
                <w:kern w:val="0"/>
                <w:sz w:val="18"/>
                <w:szCs w:val="18"/>
              </w:rPr>
              <w:t>销售（营业）利润增长率（％）</w:t>
            </w:r>
          </w:p>
        </w:tc>
        <w:tc>
          <w:tcPr>
            <w:tcW w:w="1238" w:type="dxa"/>
            <w:tcBorders>
              <w:top w:val="nil"/>
              <w:left w:val="nil"/>
              <w:bottom w:val="single" w:sz="4" w:space="0" w:color="auto"/>
              <w:right w:val="single" w:sz="4" w:space="0" w:color="auto"/>
            </w:tcBorders>
            <w:noWrap/>
            <w:vAlign w:val="center"/>
          </w:tcPr>
          <w:p w14:paraId="6F5A3FC6"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7.5</w:t>
            </w:r>
          </w:p>
        </w:tc>
        <w:tc>
          <w:tcPr>
            <w:tcW w:w="965" w:type="dxa"/>
            <w:tcBorders>
              <w:top w:val="nil"/>
              <w:left w:val="nil"/>
              <w:bottom w:val="single" w:sz="4" w:space="0" w:color="auto"/>
              <w:right w:val="single" w:sz="4" w:space="0" w:color="auto"/>
            </w:tcBorders>
            <w:noWrap/>
            <w:vAlign w:val="center"/>
          </w:tcPr>
          <w:p w14:paraId="744D74C1"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6.1</w:t>
            </w:r>
          </w:p>
        </w:tc>
        <w:tc>
          <w:tcPr>
            <w:tcW w:w="965" w:type="dxa"/>
            <w:tcBorders>
              <w:top w:val="nil"/>
              <w:left w:val="nil"/>
              <w:bottom w:val="single" w:sz="4" w:space="0" w:color="auto"/>
              <w:right w:val="single" w:sz="4" w:space="0" w:color="auto"/>
            </w:tcBorders>
            <w:noWrap/>
            <w:vAlign w:val="center"/>
          </w:tcPr>
          <w:p w14:paraId="5A850A9F"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4.1</w:t>
            </w:r>
          </w:p>
        </w:tc>
        <w:tc>
          <w:tcPr>
            <w:tcW w:w="965" w:type="dxa"/>
            <w:tcBorders>
              <w:top w:val="nil"/>
              <w:left w:val="nil"/>
              <w:bottom w:val="single" w:sz="4" w:space="0" w:color="auto"/>
              <w:right w:val="single" w:sz="4" w:space="0" w:color="auto"/>
            </w:tcBorders>
            <w:noWrap/>
            <w:vAlign w:val="center"/>
          </w:tcPr>
          <w:p w14:paraId="3CF54F00"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w:t>
            </w:r>
          </w:p>
        </w:tc>
        <w:tc>
          <w:tcPr>
            <w:tcW w:w="1420" w:type="dxa"/>
            <w:tcBorders>
              <w:top w:val="nil"/>
              <w:left w:val="nil"/>
              <w:bottom w:val="single" w:sz="4" w:space="0" w:color="auto"/>
              <w:right w:val="single" w:sz="4" w:space="0" w:color="auto"/>
            </w:tcBorders>
            <w:noWrap/>
            <w:vAlign w:val="center"/>
          </w:tcPr>
          <w:p w14:paraId="29E499A7"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-3.3</w:t>
            </w:r>
          </w:p>
        </w:tc>
      </w:tr>
      <w:tr w:rsidR="00BD3166" w14:paraId="63693F11" w14:textId="77777777">
        <w:trPr>
          <w:trHeight w:val="276"/>
          <w:jc w:val="center"/>
        </w:trPr>
        <w:tc>
          <w:tcPr>
            <w:tcW w:w="1673" w:type="pct"/>
            <w:tcBorders>
              <w:top w:val="nil"/>
              <w:left w:val="single" w:sz="4" w:space="0" w:color="auto"/>
              <w:bottom w:val="single" w:sz="4" w:space="0" w:color="auto"/>
              <w:right w:val="single" w:sz="4" w:space="0" w:color="auto"/>
            </w:tcBorders>
            <w:noWrap/>
            <w:vAlign w:val="center"/>
          </w:tcPr>
          <w:p w14:paraId="66B397FC" w14:textId="77777777" w:rsidR="00BD3166" w:rsidRDefault="00C64679">
            <w:pPr>
              <w:widowControl/>
              <w:jc w:val="left"/>
              <w:rPr>
                <w:rFonts w:ascii="Arial Narrow" w:hAnsi="Arial Narrow" w:cs="宋体"/>
                <w:kern w:val="0"/>
                <w:sz w:val="18"/>
                <w:szCs w:val="18"/>
              </w:rPr>
            </w:pPr>
            <w:r>
              <w:rPr>
                <w:rFonts w:ascii="Arial Narrow" w:hAnsi="Arial Narrow" w:cs="宋体"/>
                <w:kern w:val="0"/>
                <w:sz w:val="18"/>
                <w:szCs w:val="18"/>
              </w:rPr>
              <w:t>总资产增长率（％）</w:t>
            </w:r>
          </w:p>
        </w:tc>
        <w:tc>
          <w:tcPr>
            <w:tcW w:w="1238" w:type="dxa"/>
            <w:tcBorders>
              <w:top w:val="nil"/>
              <w:left w:val="nil"/>
              <w:bottom w:val="single" w:sz="4" w:space="0" w:color="auto"/>
              <w:right w:val="single" w:sz="4" w:space="0" w:color="auto"/>
            </w:tcBorders>
            <w:noWrap/>
            <w:vAlign w:val="center"/>
          </w:tcPr>
          <w:p w14:paraId="12DA867A"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9.2</w:t>
            </w:r>
          </w:p>
        </w:tc>
        <w:tc>
          <w:tcPr>
            <w:tcW w:w="965" w:type="dxa"/>
            <w:tcBorders>
              <w:top w:val="nil"/>
              <w:left w:val="nil"/>
              <w:bottom w:val="single" w:sz="4" w:space="0" w:color="auto"/>
              <w:right w:val="single" w:sz="4" w:space="0" w:color="auto"/>
            </w:tcBorders>
            <w:noWrap/>
            <w:vAlign w:val="center"/>
          </w:tcPr>
          <w:p w14:paraId="6465A752"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4.4</w:t>
            </w:r>
          </w:p>
        </w:tc>
        <w:tc>
          <w:tcPr>
            <w:tcW w:w="965" w:type="dxa"/>
            <w:tcBorders>
              <w:top w:val="nil"/>
              <w:left w:val="nil"/>
              <w:bottom w:val="single" w:sz="4" w:space="0" w:color="auto"/>
              <w:right w:val="single" w:sz="4" w:space="0" w:color="auto"/>
            </w:tcBorders>
            <w:noWrap/>
            <w:vAlign w:val="center"/>
          </w:tcPr>
          <w:p w14:paraId="2AD0ED0D"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2.7</w:t>
            </w:r>
          </w:p>
        </w:tc>
        <w:tc>
          <w:tcPr>
            <w:tcW w:w="965" w:type="dxa"/>
            <w:tcBorders>
              <w:top w:val="nil"/>
              <w:left w:val="nil"/>
              <w:bottom w:val="single" w:sz="4" w:space="0" w:color="auto"/>
              <w:right w:val="single" w:sz="4" w:space="0" w:color="auto"/>
            </w:tcBorders>
            <w:noWrap/>
            <w:vAlign w:val="center"/>
          </w:tcPr>
          <w:p w14:paraId="2C22D3A8"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0.7</w:t>
            </w:r>
          </w:p>
        </w:tc>
        <w:tc>
          <w:tcPr>
            <w:tcW w:w="1420" w:type="dxa"/>
            <w:tcBorders>
              <w:top w:val="nil"/>
              <w:left w:val="nil"/>
              <w:bottom w:val="single" w:sz="4" w:space="0" w:color="auto"/>
              <w:right w:val="single" w:sz="4" w:space="0" w:color="auto"/>
            </w:tcBorders>
            <w:noWrap/>
            <w:vAlign w:val="center"/>
          </w:tcPr>
          <w:p w14:paraId="4F1E95E5" w14:textId="77777777" w:rsidR="00BD3166" w:rsidRDefault="00C64679">
            <w:pPr>
              <w:widowControl/>
              <w:jc w:val="right"/>
              <w:textAlignment w:val="top"/>
              <w:rPr>
                <w:rFonts w:ascii="Arial Narrow" w:hAnsi="Arial Narrow" w:cs="宋体"/>
                <w:kern w:val="0"/>
                <w:sz w:val="18"/>
                <w:szCs w:val="18"/>
              </w:rPr>
            </w:pPr>
            <w:r>
              <w:rPr>
                <w:rFonts w:ascii="Arial Narrow" w:eastAsia="Arial Narrow" w:hAnsi="Arial Narrow" w:cs="Arial Narrow"/>
                <w:color w:val="000000"/>
                <w:kern w:val="0"/>
                <w:sz w:val="18"/>
                <w:szCs w:val="18"/>
                <w:lang w:bidi="ar"/>
              </w:rPr>
              <w:t>-11.5</w:t>
            </w:r>
          </w:p>
        </w:tc>
      </w:tr>
    </w:tbl>
    <w:p w14:paraId="57A556F3" w14:textId="77777777" w:rsidR="00BD3166" w:rsidRDefault="00C64679">
      <w:pPr>
        <w:pStyle w:val="zw"/>
        <w:snapToGrid w:val="0"/>
        <w:rPr>
          <w:rFonts w:eastAsia="宋体" w:cs="Arial Narrow"/>
        </w:rPr>
      </w:pPr>
      <w:r>
        <w:rPr>
          <w:rFonts w:ascii="宋体" w:eastAsia="宋体" w:hAnsi="宋体" w:cs="Arial Narrow" w:hint="eastAsia"/>
        </w:rPr>
        <w:t>（2）</w:t>
      </w:r>
      <w:r>
        <w:rPr>
          <w:rFonts w:eastAsia="宋体" w:cs="Arial Narrow" w:hint="eastAsia"/>
        </w:rPr>
        <w:t>根据电信信息技术服务业企业绩效评价标准值编制分级</w:t>
      </w:r>
      <w:proofErr w:type="gramStart"/>
      <w:r>
        <w:rPr>
          <w:rFonts w:eastAsia="宋体" w:cs="Arial Narrow" w:hint="eastAsia"/>
        </w:rPr>
        <w:t>打分表</w:t>
      </w:r>
      <w:proofErr w:type="gramEnd"/>
      <w:r>
        <w:rPr>
          <w:rFonts w:eastAsia="宋体" w:cs="Arial Narrow" w:hint="eastAsia"/>
        </w:rPr>
        <w:t>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1"/>
        <w:gridCol w:w="905"/>
        <w:gridCol w:w="905"/>
        <w:gridCol w:w="905"/>
        <w:gridCol w:w="905"/>
        <w:gridCol w:w="905"/>
      </w:tblGrid>
      <w:tr w:rsidR="00BD3166" w14:paraId="1E98CC96" w14:textId="77777777">
        <w:trPr>
          <w:trHeight w:val="301"/>
          <w:jc w:val="center"/>
        </w:trPr>
        <w:tc>
          <w:tcPr>
            <w:tcW w:w="2285" w:type="pct"/>
            <w:vAlign w:val="center"/>
          </w:tcPr>
          <w:p w14:paraId="7D059811" w14:textId="77777777" w:rsidR="00BD3166" w:rsidRDefault="00C64679">
            <w:pPr>
              <w:widowControl/>
              <w:jc w:val="center"/>
              <w:textAlignment w:val="center"/>
              <w:rPr>
                <w:rFonts w:ascii="Times New Roman" w:hAnsi="Times New Roman" w:cs="Times New Roman"/>
                <w:b/>
                <w:sz w:val="18"/>
                <w:szCs w:val="18"/>
              </w:rPr>
            </w:pPr>
            <w:r>
              <w:rPr>
                <w:rFonts w:ascii="Times New Roman" w:hAnsi="Times New Roman" w:cs="Times New Roman" w:hint="eastAsia"/>
                <w:b/>
                <w:sz w:val="18"/>
                <w:szCs w:val="18"/>
                <w:lang w:bidi="ar"/>
              </w:rPr>
              <w:t>标准</w:t>
            </w:r>
          </w:p>
        </w:tc>
        <w:tc>
          <w:tcPr>
            <w:tcW w:w="543" w:type="pct"/>
            <w:vAlign w:val="center"/>
          </w:tcPr>
          <w:p w14:paraId="5AA7C4AD" w14:textId="77777777" w:rsidR="00BD3166" w:rsidRDefault="00C64679">
            <w:pPr>
              <w:widowControl/>
              <w:jc w:val="center"/>
              <w:textAlignment w:val="center"/>
              <w:rPr>
                <w:rFonts w:ascii="Times New Roman" w:hAnsi="Times New Roman" w:cs="Times New Roman"/>
                <w:b/>
                <w:sz w:val="18"/>
                <w:szCs w:val="18"/>
              </w:rPr>
            </w:pPr>
            <w:r>
              <w:rPr>
                <w:rFonts w:ascii="Times New Roman" w:hAnsi="Times New Roman" w:cs="Times New Roman" w:hint="eastAsia"/>
                <w:b/>
                <w:sz w:val="18"/>
                <w:szCs w:val="18"/>
                <w:lang w:bidi="ar"/>
              </w:rPr>
              <w:t>优秀值</w:t>
            </w:r>
          </w:p>
        </w:tc>
        <w:tc>
          <w:tcPr>
            <w:tcW w:w="543" w:type="pct"/>
            <w:vAlign w:val="center"/>
          </w:tcPr>
          <w:p w14:paraId="71310E77" w14:textId="77777777" w:rsidR="00BD3166" w:rsidRDefault="00C64679">
            <w:pPr>
              <w:widowControl/>
              <w:jc w:val="center"/>
              <w:textAlignment w:val="center"/>
              <w:rPr>
                <w:rFonts w:ascii="Times New Roman" w:hAnsi="Times New Roman" w:cs="Times New Roman"/>
                <w:b/>
                <w:sz w:val="18"/>
                <w:szCs w:val="18"/>
              </w:rPr>
            </w:pPr>
            <w:r>
              <w:rPr>
                <w:rFonts w:ascii="Times New Roman" w:hAnsi="Times New Roman" w:cs="Times New Roman" w:hint="eastAsia"/>
                <w:b/>
                <w:sz w:val="18"/>
                <w:szCs w:val="18"/>
                <w:lang w:bidi="ar"/>
              </w:rPr>
              <w:t>良好值</w:t>
            </w:r>
          </w:p>
        </w:tc>
        <w:tc>
          <w:tcPr>
            <w:tcW w:w="543" w:type="pct"/>
            <w:vAlign w:val="center"/>
          </w:tcPr>
          <w:p w14:paraId="0204E179" w14:textId="77777777" w:rsidR="00BD3166" w:rsidRDefault="00C64679">
            <w:pPr>
              <w:widowControl/>
              <w:jc w:val="center"/>
              <w:textAlignment w:val="center"/>
              <w:rPr>
                <w:rFonts w:ascii="Times New Roman" w:hAnsi="Times New Roman" w:cs="Times New Roman"/>
                <w:b/>
                <w:sz w:val="18"/>
                <w:szCs w:val="18"/>
              </w:rPr>
            </w:pPr>
            <w:r>
              <w:rPr>
                <w:rFonts w:ascii="Times New Roman" w:hAnsi="Times New Roman" w:cs="Times New Roman" w:hint="eastAsia"/>
                <w:b/>
                <w:sz w:val="18"/>
                <w:szCs w:val="18"/>
                <w:lang w:bidi="ar"/>
              </w:rPr>
              <w:t>平均值</w:t>
            </w:r>
          </w:p>
        </w:tc>
        <w:tc>
          <w:tcPr>
            <w:tcW w:w="543" w:type="pct"/>
            <w:vAlign w:val="center"/>
          </w:tcPr>
          <w:p w14:paraId="104A8459" w14:textId="77777777" w:rsidR="00BD3166" w:rsidRDefault="00C64679">
            <w:pPr>
              <w:widowControl/>
              <w:jc w:val="center"/>
              <w:textAlignment w:val="center"/>
              <w:rPr>
                <w:rFonts w:ascii="Times New Roman" w:hAnsi="Times New Roman" w:cs="Times New Roman"/>
                <w:b/>
                <w:sz w:val="18"/>
                <w:szCs w:val="18"/>
              </w:rPr>
            </w:pPr>
            <w:proofErr w:type="gramStart"/>
            <w:r>
              <w:rPr>
                <w:rFonts w:ascii="Times New Roman" w:hAnsi="Times New Roman" w:cs="Times New Roman" w:hint="eastAsia"/>
                <w:b/>
                <w:sz w:val="18"/>
                <w:szCs w:val="18"/>
                <w:lang w:bidi="ar"/>
              </w:rPr>
              <w:t>较低值</w:t>
            </w:r>
            <w:proofErr w:type="gramEnd"/>
          </w:p>
        </w:tc>
        <w:tc>
          <w:tcPr>
            <w:tcW w:w="543" w:type="pct"/>
            <w:vAlign w:val="center"/>
          </w:tcPr>
          <w:p w14:paraId="15C41651" w14:textId="77777777" w:rsidR="00BD3166" w:rsidRDefault="00C64679">
            <w:pPr>
              <w:widowControl/>
              <w:jc w:val="center"/>
              <w:textAlignment w:val="center"/>
              <w:rPr>
                <w:rFonts w:ascii="Times New Roman" w:hAnsi="Times New Roman" w:cs="Times New Roman"/>
                <w:b/>
                <w:sz w:val="18"/>
                <w:szCs w:val="18"/>
              </w:rPr>
            </w:pPr>
            <w:r>
              <w:rPr>
                <w:rFonts w:ascii="Times New Roman" w:hAnsi="Times New Roman" w:cs="Times New Roman" w:hint="eastAsia"/>
                <w:b/>
                <w:sz w:val="18"/>
                <w:szCs w:val="18"/>
                <w:lang w:bidi="ar"/>
              </w:rPr>
              <w:t>较差值</w:t>
            </w:r>
          </w:p>
        </w:tc>
      </w:tr>
      <w:tr w:rsidR="00BD3166" w14:paraId="6CE3D2C2" w14:textId="77777777">
        <w:trPr>
          <w:trHeight w:val="281"/>
          <w:jc w:val="center"/>
        </w:trPr>
        <w:tc>
          <w:tcPr>
            <w:tcW w:w="2285" w:type="pct"/>
            <w:vAlign w:val="center"/>
          </w:tcPr>
          <w:p w14:paraId="66ED61F1" w14:textId="77777777" w:rsidR="00BD3166" w:rsidRDefault="00C64679">
            <w:pPr>
              <w:widowControl/>
              <w:jc w:val="center"/>
              <w:textAlignment w:val="center"/>
              <w:rPr>
                <w:rFonts w:ascii="Times New Roman" w:hAnsi="Times New Roman" w:cs="Times New Roman"/>
                <w:b/>
                <w:sz w:val="18"/>
                <w:szCs w:val="18"/>
              </w:rPr>
            </w:pPr>
            <w:r>
              <w:rPr>
                <w:rFonts w:ascii="Times New Roman" w:hAnsi="Times New Roman" w:cs="Times New Roman" w:hint="eastAsia"/>
                <w:b/>
                <w:sz w:val="18"/>
                <w:szCs w:val="18"/>
                <w:lang w:bidi="ar"/>
              </w:rPr>
              <w:t>系数</w:t>
            </w:r>
          </w:p>
        </w:tc>
        <w:tc>
          <w:tcPr>
            <w:tcW w:w="902" w:type="dxa"/>
            <w:vAlign w:val="center"/>
          </w:tcPr>
          <w:p w14:paraId="3BD35762" w14:textId="77777777" w:rsidR="00BD3166" w:rsidRDefault="00C64679">
            <w:pPr>
              <w:widowControl/>
              <w:jc w:val="right"/>
              <w:textAlignment w:val="center"/>
              <w:rPr>
                <w:rFonts w:ascii="Times New Roman" w:hAnsi="Times New Roman" w:cs="Times New Roman"/>
                <w:b/>
                <w:sz w:val="18"/>
                <w:szCs w:val="18"/>
              </w:rPr>
            </w:pPr>
            <w:r>
              <w:rPr>
                <w:rFonts w:ascii="Times New Roman" w:eastAsia="Arial Narrow" w:hAnsi="Times New Roman" w:cs="Times New Roman"/>
                <w:b/>
                <w:bCs/>
                <w:color w:val="000000"/>
                <w:kern w:val="0"/>
                <w:sz w:val="18"/>
                <w:szCs w:val="18"/>
                <w:lang w:bidi="ar"/>
              </w:rPr>
              <w:t>1</w:t>
            </w:r>
          </w:p>
        </w:tc>
        <w:tc>
          <w:tcPr>
            <w:tcW w:w="902" w:type="dxa"/>
            <w:vAlign w:val="center"/>
          </w:tcPr>
          <w:p w14:paraId="35CC159B" w14:textId="77777777" w:rsidR="00BD3166" w:rsidRDefault="00C64679">
            <w:pPr>
              <w:widowControl/>
              <w:jc w:val="right"/>
              <w:textAlignment w:val="center"/>
              <w:rPr>
                <w:rFonts w:ascii="Times New Roman" w:hAnsi="Times New Roman" w:cs="Times New Roman"/>
                <w:b/>
                <w:sz w:val="18"/>
                <w:szCs w:val="18"/>
              </w:rPr>
            </w:pPr>
            <w:r>
              <w:rPr>
                <w:rFonts w:ascii="Times New Roman" w:eastAsia="Arial Narrow" w:hAnsi="Times New Roman" w:cs="Times New Roman"/>
                <w:b/>
                <w:bCs/>
                <w:color w:val="000000"/>
                <w:kern w:val="0"/>
                <w:sz w:val="18"/>
                <w:szCs w:val="18"/>
                <w:lang w:bidi="ar"/>
              </w:rPr>
              <w:t>0.8</w:t>
            </w:r>
          </w:p>
        </w:tc>
        <w:tc>
          <w:tcPr>
            <w:tcW w:w="902" w:type="dxa"/>
            <w:vAlign w:val="center"/>
          </w:tcPr>
          <w:p w14:paraId="7165AE54" w14:textId="77777777" w:rsidR="00BD3166" w:rsidRDefault="00C64679">
            <w:pPr>
              <w:widowControl/>
              <w:jc w:val="right"/>
              <w:textAlignment w:val="center"/>
              <w:rPr>
                <w:rFonts w:ascii="Times New Roman" w:hAnsi="Times New Roman" w:cs="Times New Roman"/>
                <w:b/>
                <w:sz w:val="18"/>
                <w:szCs w:val="18"/>
              </w:rPr>
            </w:pPr>
            <w:r>
              <w:rPr>
                <w:rFonts w:ascii="Times New Roman" w:eastAsia="Arial Narrow" w:hAnsi="Times New Roman" w:cs="Times New Roman"/>
                <w:b/>
                <w:bCs/>
                <w:color w:val="000000"/>
                <w:kern w:val="0"/>
                <w:sz w:val="18"/>
                <w:szCs w:val="18"/>
                <w:lang w:bidi="ar"/>
              </w:rPr>
              <w:t>0.6</w:t>
            </w:r>
          </w:p>
        </w:tc>
        <w:tc>
          <w:tcPr>
            <w:tcW w:w="903" w:type="dxa"/>
            <w:vAlign w:val="center"/>
          </w:tcPr>
          <w:p w14:paraId="64DDB03E" w14:textId="77777777" w:rsidR="00BD3166" w:rsidRDefault="00C64679">
            <w:pPr>
              <w:widowControl/>
              <w:jc w:val="right"/>
              <w:textAlignment w:val="center"/>
              <w:rPr>
                <w:rFonts w:ascii="Times New Roman" w:hAnsi="Times New Roman" w:cs="Times New Roman"/>
                <w:b/>
                <w:sz w:val="18"/>
                <w:szCs w:val="18"/>
              </w:rPr>
            </w:pPr>
            <w:r>
              <w:rPr>
                <w:rFonts w:ascii="Times New Roman" w:eastAsia="Arial Narrow" w:hAnsi="Times New Roman" w:cs="Times New Roman"/>
                <w:b/>
                <w:bCs/>
                <w:color w:val="000000"/>
                <w:kern w:val="0"/>
                <w:sz w:val="18"/>
                <w:szCs w:val="18"/>
                <w:lang w:bidi="ar"/>
              </w:rPr>
              <w:t>0.4</w:t>
            </w:r>
          </w:p>
        </w:tc>
        <w:tc>
          <w:tcPr>
            <w:tcW w:w="903" w:type="dxa"/>
            <w:vAlign w:val="center"/>
          </w:tcPr>
          <w:p w14:paraId="27BF31BC" w14:textId="77777777" w:rsidR="00BD3166" w:rsidRDefault="00C64679">
            <w:pPr>
              <w:widowControl/>
              <w:jc w:val="right"/>
              <w:textAlignment w:val="center"/>
              <w:rPr>
                <w:rFonts w:ascii="Times New Roman" w:hAnsi="Times New Roman" w:cs="Times New Roman"/>
                <w:b/>
                <w:sz w:val="18"/>
                <w:szCs w:val="18"/>
              </w:rPr>
            </w:pPr>
            <w:r>
              <w:rPr>
                <w:rFonts w:ascii="Times New Roman" w:eastAsia="Arial Narrow" w:hAnsi="Times New Roman" w:cs="Times New Roman"/>
                <w:b/>
                <w:bCs/>
                <w:color w:val="000000"/>
                <w:kern w:val="0"/>
                <w:sz w:val="18"/>
                <w:szCs w:val="18"/>
                <w:lang w:bidi="ar"/>
              </w:rPr>
              <w:t>0.2</w:t>
            </w:r>
          </w:p>
        </w:tc>
      </w:tr>
      <w:tr w:rsidR="00BD3166" w14:paraId="1B0105F0" w14:textId="77777777">
        <w:trPr>
          <w:trHeight w:val="281"/>
          <w:jc w:val="center"/>
        </w:trPr>
        <w:tc>
          <w:tcPr>
            <w:tcW w:w="2285" w:type="pct"/>
            <w:vAlign w:val="center"/>
          </w:tcPr>
          <w:p w14:paraId="7B195808" w14:textId="77777777" w:rsidR="00BD3166" w:rsidRDefault="00C64679">
            <w:pPr>
              <w:widowControl/>
              <w:jc w:val="left"/>
              <w:textAlignment w:val="center"/>
              <w:rPr>
                <w:rFonts w:ascii="Times New Roman" w:hAnsi="Times New Roman" w:cs="Times New Roman"/>
                <w:b/>
                <w:sz w:val="18"/>
                <w:szCs w:val="18"/>
              </w:rPr>
            </w:pPr>
            <w:r>
              <w:rPr>
                <w:rFonts w:ascii="Times New Roman" w:hAnsi="Times New Roman" w:cs="Times New Roman" w:hint="eastAsia"/>
                <w:b/>
                <w:sz w:val="18"/>
                <w:szCs w:val="18"/>
                <w:lang w:bidi="ar"/>
              </w:rPr>
              <w:t>一、盈利能力状况</w:t>
            </w:r>
          </w:p>
        </w:tc>
        <w:tc>
          <w:tcPr>
            <w:tcW w:w="902" w:type="dxa"/>
            <w:vAlign w:val="center"/>
          </w:tcPr>
          <w:p w14:paraId="165318FB" w14:textId="77777777" w:rsidR="00BD3166" w:rsidRDefault="00BD3166">
            <w:pPr>
              <w:jc w:val="right"/>
              <w:rPr>
                <w:rFonts w:ascii="Times New Roman" w:hAnsi="Times New Roman" w:cs="Times New Roman"/>
                <w:sz w:val="18"/>
                <w:szCs w:val="18"/>
              </w:rPr>
            </w:pPr>
          </w:p>
        </w:tc>
        <w:tc>
          <w:tcPr>
            <w:tcW w:w="902" w:type="dxa"/>
            <w:vAlign w:val="center"/>
          </w:tcPr>
          <w:p w14:paraId="0CF20238" w14:textId="77777777" w:rsidR="00BD3166" w:rsidRDefault="00BD3166">
            <w:pPr>
              <w:jc w:val="right"/>
              <w:rPr>
                <w:rFonts w:ascii="Times New Roman" w:hAnsi="Times New Roman" w:cs="Times New Roman"/>
                <w:sz w:val="18"/>
                <w:szCs w:val="18"/>
              </w:rPr>
            </w:pPr>
          </w:p>
        </w:tc>
        <w:tc>
          <w:tcPr>
            <w:tcW w:w="902" w:type="dxa"/>
            <w:vAlign w:val="center"/>
          </w:tcPr>
          <w:p w14:paraId="3B4BD830" w14:textId="77777777" w:rsidR="00BD3166" w:rsidRDefault="00BD3166">
            <w:pPr>
              <w:jc w:val="right"/>
              <w:rPr>
                <w:rFonts w:ascii="Times New Roman" w:hAnsi="Times New Roman" w:cs="Times New Roman"/>
                <w:sz w:val="18"/>
                <w:szCs w:val="18"/>
              </w:rPr>
            </w:pPr>
          </w:p>
        </w:tc>
        <w:tc>
          <w:tcPr>
            <w:tcW w:w="903" w:type="dxa"/>
            <w:vAlign w:val="center"/>
          </w:tcPr>
          <w:p w14:paraId="67B18BF7" w14:textId="77777777" w:rsidR="00BD3166" w:rsidRDefault="00BD3166">
            <w:pPr>
              <w:jc w:val="right"/>
              <w:rPr>
                <w:rFonts w:ascii="Times New Roman" w:hAnsi="Times New Roman" w:cs="Times New Roman"/>
                <w:sz w:val="18"/>
                <w:szCs w:val="18"/>
              </w:rPr>
            </w:pPr>
          </w:p>
        </w:tc>
        <w:tc>
          <w:tcPr>
            <w:tcW w:w="903" w:type="dxa"/>
            <w:vAlign w:val="center"/>
          </w:tcPr>
          <w:p w14:paraId="21537D77" w14:textId="77777777" w:rsidR="00BD3166" w:rsidRDefault="00BD3166">
            <w:pPr>
              <w:jc w:val="right"/>
              <w:rPr>
                <w:rFonts w:ascii="Times New Roman" w:hAnsi="Times New Roman" w:cs="Times New Roman"/>
                <w:sz w:val="18"/>
                <w:szCs w:val="18"/>
              </w:rPr>
            </w:pPr>
          </w:p>
        </w:tc>
      </w:tr>
      <w:tr w:rsidR="00BD3166" w14:paraId="5DA33D7D" w14:textId="77777777">
        <w:trPr>
          <w:trHeight w:val="281"/>
          <w:jc w:val="center"/>
        </w:trPr>
        <w:tc>
          <w:tcPr>
            <w:tcW w:w="2285" w:type="pct"/>
            <w:vAlign w:val="center"/>
          </w:tcPr>
          <w:p w14:paraId="114D9B83" w14:textId="77777777" w:rsidR="00BD3166" w:rsidRDefault="00C64679">
            <w:pPr>
              <w:widowControl/>
              <w:jc w:val="left"/>
              <w:textAlignment w:val="center"/>
              <w:rPr>
                <w:rFonts w:ascii="Times New Roman" w:hAnsi="Times New Roman" w:cs="Times New Roman"/>
                <w:sz w:val="18"/>
                <w:szCs w:val="18"/>
              </w:rPr>
            </w:pPr>
            <w:r>
              <w:rPr>
                <w:rFonts w:ascii="Times New Roman" w:hAnsi="Times New Roman" w:cs="Times New Roman" w:hint="eastAsia"/>
                <w:sz w:val="18"/>
                <w:szCs w:val="18"/>
                <w:lang w:bidi="ar"/>
              </w:rPr>
              <w:t>净资产收益率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得分</w:t>
            </w:r>
          </w:p>
        </w:tc>
        <w:tc>
          <w:tcPr>
            <w:tcW w:w="902" w:type="dxa"/>
            <w:vAlign w:val="center"/>
          </w:tcPr>
          <w:p w14:paraId="6953A377"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10</w:t>
            </w:r>
          </w:p>
        </w:tc>
        <w:tc>
          <w:tcPr>
            <w:tcW w:w="902" w:type="dxa"/>
            <w:vAlign w:val="center"/>
          </w:tcPr>
          <w:p w14:paraId="48B2F2E2"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8</w:t>
            </w:r>
          </w:p>
        </w:tc>
        <w:tc>
          <w:tcPr>
            <w:tcW w:w="902" w:type="dxa"/>
            <w:vAlign w:val="center"/>
          </w:tcPr>
          <w:p w14:paraId="141C9C19"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6</w:t>
            </w:r>
          </w:p>
        </w:tc>
        <w:tc>
          <w:tcPr>
            <w:tcW w:w="903" w:type="dxa"/>
            <w:vAlign w:val="center"/>
          </w:tcPr>
          <w:p w14:paraId="289D3650"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4</w:t>
            </w:r>
          </w:p>
        </w:tc>
        <w:tc>
          <w:tcPr>
            <w:tcW w:w="903" w:type="dxa"/>
            <w:vAlign w:val="center"/>
          </w:tcPr>
          <w:p w14:paraId="32395CA0"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2</w:t>
            </w:r>
          </w:p>
        </w:tc>
      </w:tr>
      <w:tr w:rsidR="00BD3166" w14:paraId="468C5B34" w14:textId="77777777">
        <w:trPr>
          <w:trHeight w:val="281"/>
          <w:jc w:val="center"/>
        </w:trPr>
        <w:tc>
          <w:tcPr>
            <w:tcW w:w="2285" w:type="pct"/>
            <w:vAlign w:val="center"/>
          </w:tcPr>
          <w:p w14:paraId="5A7ADCAB" w14:textId="77777777" w:rsidR="00BD3166" w:rsidRDefault="00C64679">
            <w:pPr>
              <w:widowControl/>
              <w:jc w:val="left"/>
              <w:textAlignment w:val="center"/>
              <w:rPr>
                <w:rFonts w:ascii="Times New Roman" w:hAnsi="Times New Roman" w:cs="Times New Roman"/>
                <w:sz w:val="18"/>
                <w:szCs w:val="18"/>
              </w:rPr>
            </w:pPr>
            <w:r>
              <w:rPr>
                <w:rFonts w:ascii="Times New Roman" w:hAnsi="Times New Roman" w:cs="Times New Roman" w:hint="eastAsia"/>
                <w:sz w:val="18"/>
                <w:szCs w:val="18"/>
                <w:lang w:bidi="ar"/>
              </w:rPr>
              <w:t>总资产报酬率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得分</w:t>
            </w:r>
          </w:p>
        </w:tc>
        <w:tc>
          <w:tcPr>
            <w:tcW w:w="902" w:type="dxa"/>
            <w:vAlign w:val="center"/>
          </w:tcPr>
          <w:p w14:paraId="36707A6B"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10</w:t>
            </w:r>
          </w:p>
        </w:tc>
        <w:tc>
          <w:tcPr>
            <w:tcW w:w="902" w:type="dxa"/>
            <w:vAlign w:val="center"/>
          </w:tcPr>
          <w:p w14:paraId="14151CBC"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8</w:t>
            </w:r>
          </w:p>
        </w:tc>
        <w:tc>
          <w:tcPr>
            <w:tcW w:w="902" w:type="dxa"/>
            <w:vAlign w:val="center"/>
          </w:tcPr>
          <w:p w14:paraId="08FC252D"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6</w:t>
            </w:r>
          </w:p>
        </w:tc>
        <w:tc>
          <w:tcPr>
            <w:tcW w:w="903" w:type="dxa"/>
            <w:vAlign w:val="center"/>
          </w:tcPr>
          <w:p w14:paraId="4C2AF0C2"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4</w:t>
            </w:r>
          </w:p>
        </w:tc>
        <w:tc>
          <w:tcPr>
            <w:tcW w:w="903" w:type="dxa"/>
            <w:vAlign w:val="center"/>
          </w:tcPr>
          <w:p w14:paraId="26633245"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2</w:t>
            </w:r>
          </w:p>
        </w:tc>
      </w:tr>
      <w:tr w:rsidR="00BD3166" w14:paraId="3BBFEE21" w14:textId="77777777">
        <w:trPr>
          <w:trHeight w:val="281"/>
          <w:jc w:val="center"/>
        </w:trPr>
        <w:tc>
          <w:tcPr>
            <w:tcW w:w="2285" w:type="pct"/>
            <w:vAlign w:val="center"/>
          </w:tcPr>
          <w:p w14:paraId="1193C770" w14:textId="77777777" w:rsidR="00BD3166" w:rsidRDefault="00C64679">
            <w:pPr>
              <w:widowControl/>
              <w:jc w:val="left"/>
              <w:textAlignment w:val="center"/>
              <w:rPr>
                <w:rFonts w:ascii="Times New Roman" w:hAnsi="Times New Roman" w:cs="Times New Roman"/>
                <w:sz w:val="18"/>
                <w:szCs w:val="18"/>
              </w:rPr>
            </w:pPr>
            <w:r>
              <w:rPr>
                <w:rFonts w:ascii="Times New Roman" w:hAnsi="Times New Roman" w:cs="Times New Roman" w:hint="eastAsia"/>
                <w:sz w:val="18"/>
                <w:szCs w:val="18"/>
                <w:lang w:bidi="ar"/>
              </w:rPr>
              <w:t>销售</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营业</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利润率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得分</w:t>
            </w:r>
          </w:p>
        </w:tc>
        <w:tc>
          <w:tcPr>
            <w:tcW w:w="902" w:type="dxa"/>
            <w:vAlign w:val="center"/>
          </w:tcPr>
          <w:p w14:paraId="6D56DC97"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10</w:t>
            </w:r>
          </w:p>
        </w:tc>
        <w:tc>
          <w:tcPr>
            <w:tcW w:w="902" w:type="dxa"/>
            <w:vAlign w:val="center"/>
          </w:tcPr>
          <w:p w14:paraId="385982F1"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8</w:t>
            </w:r>
          </w:p>
        </w:tc>
        <w:tc>
          <w:tcPr>
            <w:tcW w:w="902" w:type="dxa"/>
            <w:vAlign w:val="center"/>
          </w:tcPr>
          <w:p w14:paraId="5D013B94"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6</w:t>
            </w:r>
          </w:p>
        </w:tc>
        <w:tc>
          <w:tcPr>
            <w:tcW w:w="903" w:type="dxa"/>
            <w:vAlign w:val="center"/>
          </w:tcPr>
          <w:p w14:paraId="1357896A"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4</w:t>
            </w:r>
          </w:p>
        </w:tc>
        <w:tc>
          <w:tcPr>
            <w:tcW w:w="903" w:type="dxa"/>
            <w:vAlign w:val="center"/>
          </w:tcPr>
          <w:p w14:paraId="203F6986"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2</w:t>
            </w:r>
          </w:p>
        </w:tc>
      </w:tr>
      <w:tr w:rsidR="00BD3166" w14:paraId="46ACA18F" w14:textId="77777777">
        <w:trPr>
          <w:trHeight w:val="191"/>
          <w:jc w:val="center"/>
        </w:trPr>
        <w:tc>
          <w:tcPr>
            <w:tcW w:w="2285" w:type="pct"/>
            <w:vAlign w:val="center"/>
          </w:tcPr>
          <w:p w14:paraId="4D1F4785" w14:textId="77777777" w:rsidR="00BD3166" w:rsidRDefault="00C64679">
            <w:pPr>
              <w:widowControl/>
              <w:jc w:val="left"/>
              <w:textAlignment w:val="center"/>
              <w:rPr>
                <w:rFonts w:ascii="Times New Roman" w:hAnsi="Times New Roman" w:cs="Times New Roman"/>
                <w:b/>
                <w:sz w:val="18"/>
                <w:szCs w:val="18"/>
              </w:rPr>
            </w:pPr>
            <w:r>
              <w:rPr>
                <w:rFonts w:ascii="Times New Roman" w:hAnsi="Times New Roman" w:cs="Times New Roman" w:hint="eastAsia"/>
                <w:b/>
                <w:sz w:val="18"/>
                <w:szCs w:val="18"/>
                <w:lang w:bidi="ar"/>
              </w:rPr>
              <w:t>二、资产质量状况</w:t>
            </w:r>
          </w:p>
        </w:tc>
        <w:tc>
          <w:tcPr>
            <w:tcW w:w="902" w:type="dxa"/>
            <w:vAlign w:val="center"/>
          </w:tcPr>
          <w:p w14:paraId="4407A9DC" w14:textId="77777777" w:rsidR="00BD3166" w:rsidRDefault="00BD3166">
            <w:pPr>
              <w:jc w:val="right"/>
              <w:rPr>
                <w:rFonts w:ascii="Times New Roman" w:hAnsi="Times New Roman" w:cs="Times New Roman"/>
                <w:sz w:val="18"/>
                <w:szCs w:val="18"/>
              </w:rPr>
            </w:pPr>
          </w:p>
        </w:tc>
        <w:tc>
          <w:tcPr>
            <w:tcW w:w="902" w:type="dxa"/>
            <w:vAlign w:val="center"/>
          </w:tcPr>
          <w:p w14:paraId="750C3004" w14:textId="77777777" w:rsidR="00BD3166" w:rsidRDefault="00BD3166">
            <w:pPr>
              <w:jc w:val="right"/>
              <w:rPr>
                <w:rFonts w:ascii="Times New Roman" w:hAnsi="Times New Roman" w:cs="Times New Roman"/>
                <w:sz w:val="18"/>
                <w:szCs w:val="18"/>
              </w:rPr>
            </w:pPr>
          </w:p>
        </w:tc>
        <w:tc>
          <w:tcPr>
            <w:tcW w:w="902" w:type="dxa"/>
            <w:vAlign w:val="center"/>
          </w:tcPr>
          <w:p w14:paraId="6F9AF426" w14:textId="77777777" w:rsidR="00BD3166" w:rsidRDefault="00BD3166">
            <w:pPr>
              <w:jc w:val="right"/>
              <w:rPr>
                <w:rFonts w:ascii="Times New Roman" w:hAnsi="Times New Roman" w:cs="Times New Roman"/>
                <w:sz w:val="18"/>
                <w:szCs w:val="18"/>
              </w:rPr>
            </w:pPr>
          </w:p>
        </w:tc>
        <w:tc>
          <w:tcPr>
            <w:tcW w:w="903" w:type="dxa"/>
            <w:vAlign w:val="center"/>
          </w:tcPr>
          <w:p w14:paraId="269548D2" w14:textId="77777777" w:rsidR="00BD3166" w:rsidRDefault="00BD3166">
            <w:pPr>
              <w:jc w:val="right"/>
              <w:rPr>
                <w:rFonts w:ascii="Times New Roman" w:hAnsi="Times New Roman" w:cs="Times New Roman"/>
                <w:sz w:val="18"/>
                <w:szCs w:val="18"/>
              </w:rPr>
            </w:pPr>
          </w:p>
        </w:tc>
        <w:tc>
          <w:tcPr>
            <w:tcW w:w="903" w:type="dxa"/>
            <w:vAlign w:val="center"/>
          </w:tcPr>
          <w:p w14:paraId="4817733C" w14:textId="77777777" w:rsidR="00BD3166" w:rsidRDefault="00BD3166">
            <w:pPr>
              <w:jc w:val="right"/>
              <w:rPr>
                <w:rFonts w:ascii="Times New Roman" w:hAnsi="Times New Roman" w:cs="Times New Roman"/>
                <w:sz w:val="18"/>
                <w:szCs w:val="18"/>
              </w:rPr>
            </w:pPr>
          </w:p>
        </w:tc>
      </w:tr>
      <w:tr w:rsidR="00BD3166" w14:paraId="237DA990" w14:textId="77777777">
        <w:trPr>
          <w:trHeight w:val="191"/>
          <w:jc w:val="center"/>
        </w:trPr>
        <w:tc>
          <w:tcPr>
            <w:tcW w:w="2285" w:type="pct"/>
            <w:vAlign w:val="center"/>
          </w:tcPr>
          <w:p w14:paraId="67BEBFD7" w14:textId="77777777" w:rsidR="00BD3166" w:rsidRDefault="00C64679">
            <w:pPr>
              <w:widowControl/>
              <w:jc w:val="left"/>
              <w:textAlignment w:val="center"/>
              <w:rPr>
                <w:rFonts w:ascii="Times New Roman" w:hAnsi="Times New Roman" w:cs="Times New Roman"/>
                <w:sz w:val="18"/>
                <w:szCs w:val="18"/>
              </w:rPr>
            </w:pPr>
            <w:r>
              <w:rPr>
                <w:rFonts w:ascii="Times New Roman" w:hAnsi="Times New Roman" w:cs="Times New Roman" w:hint="eastAsia"/>
                <w:sz w:val="18"/>
                <w:szCs w:val="18"/>
                <w:lang w:bidi="ar"/>
              </w:rPr>
              <w:t>总资产周转率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次</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得分</w:t>
            </w:r>
          </w:p>
        </w:tc>
        <w:tc>
          <w:tcPr>
            <w:tcW w:w="902" w:type="dxa"/>
            <w:vAlign w:val="center"/>
          </w:tcPr>
          <w:p w14:paraId="1BD29398"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10</w:t>
            </w:r>
          </w:p>
        </w:tc>
        <w:tc>
          <w:tcPr>
            <w:tcW w:w="902" w:type="dxa"/>
            <w:vAlign w:val="center"/>
          </w:tcPr>
          <w:p w14:paraId="7874E4B0"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8</w:t>
            </w:r>
          </w:p>
        </w:tc>
        <w:tc>
          <w:tcPr>
            <w:tcW w:w="902" w:type="dxa"/>
            <w:vAlign w:val="center"/>
          </w:tcPr>
          <w:p w14:paraId="3776362A"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6</w:t>
            </w:r>
          </w:p>
        </w:tc>
        <w:tc>
          <w:tcPr>
            <w:tcW w:w="903" w:type="dxa"/>
            <w:vAlign w:val="center"/>
          </w:tcPr>
          <w:p w14:paraId="4D08B768"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4</w:t>
            </w:r>
          </w:p>
        </w:tc>
        <w:tc>
          <w:tcPr>
            <w:tcW w:w="903" w:type="dxa"/>
            <w:vAlign w:val="center"/>
          </w:tcPr>
          <w:p w14:paraId="6270FBED"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2</w:t>
            </w:r>
          </w:p>
        </w:tc>
      </w:tr>
      <w:tr w:rsidR="00BD3166" w14:paraId="59653F9C" w14:textId="77777777">
        <w:trPr>
          <w:trHeight w:val="191"/>
          <w:jc w:val="center"/>
        </w:trPr>
        <w:tc>
          <w:tcPr>
            <w:tcW w:w="2285" w:type="pct"/>
            <w:vAlign w:val="center"/>
          </w:tcPr>
          <w:p w14:paraId="26DEB375" w14:textId="77777777" w:rsidR="00BD3166" w:rsidRDefault="00C64679">
            <w:pPr>
              <w:widowControl/>
              <w:jc w:val="left"/>
              <w:textAlignment w:val="center"/>
              <w:rPr>
                <w:rFonts w:ascii="Times New Roman" w:hAnsi="Times New Roman" w:cs="Times New Roman"/>
                <w:sz w:val="18"/>
                <w:szCs w:val="18"/>
              </w:rPr>
            </w:pPr>
            <w:r>
              <w:rPr>
                <w:rFonts w:ascii="Times New Roman" w:hAnsi="Times New Roman" w:cs="Times New Roman" w:hint="eastAsia"/>
                <w:sz w:val="18"/>
                <w:szCs w:val="18"/>
                <w:lang w:bidi="ar"/>
              </w:rPr>
              <w:t>应收账款周转率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次</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得分</w:t>
            </w:r>
          </w:p>
        </w:tc>
        <w:tc>
          <w:tcPr>
            <w:tcW w:w="902" w:type="dxa"/>
            <w:vAlign w:val="center"/>
          </w:tcPr>
          <w:p w14:paraId="4897678B"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10</w:t>
            </w:r>
          </w:p>
        </w:tc>
        <w:tc>
          <w:tcPr>
            <w:tcW w:w="902" w:type="dxa"/>
            <w:vAlign w:val="center"/>
          </w:tcPr>
          <w:p w14:paraId="736C29BE"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8</w:t>
            </w:r>
          </w:p>
        </w:tc>
        <w:tc>
          <w:tcPr>
            <w:tcW w:w="902" w:type="dxa"/>
            <w:vAlign w:val="center"/>
          </w:tcPr>
          <w:p w14:paraId="178A4D98"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6</w:t>
            </w:r>
          </w:p>
        </w:tc>
        <w:tc>
          <w:tcPr>
            <w:tcW w:w="903" w:type="dxa"/>
            <w:vAlign w:val="center"/>
          </w:tcPr>
          <w:p w14:paraId="2FCF8587"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4</w:t>
            </w:r>
          </w:p>
        </w:tc>
        <w:tc>
          <w:tcPr>
            <w:tcW w:w="903" w:type="dxa"/>
            <w:vAlign w:val="center"/>
          </w:tcPr>
          <w:p w14:paraId="4742668E"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2</w:t>
            </w:r>
          </w:p>
        </w:tc>
      </w:tr>
      <w:tr w:rsidR="00BD3166" w14:paraId="69999BCF" w14:textId="77777777">
        <w:trPr>
          <w:trHeight w:val="191"/>
          <w:jc w:val="center"/>
        </w:trPr>
        <w:tc>
          <w:tcPr>
            <w:tcW w:w="2285" w:type="pct"/>
            <w:vAlign w:val="center"/>
          </w:tcPr>
          <w:p w14:paraId="1C461E56" w14:textId="77777777" w:rsidR="00BD3166" w:rsidRDefault="00C64679">
            <w:pPr>
              <w:widowControl/>
              <w:jc w:val="left"/>
              <w:textAlignment w:val="center"/>
              <w:rPr>
                <w:rFonts w:ascii="Times New Roman" w:hAnsi="Times New Roman" w:cs="Times New Roman"/>
                <w:b/>
                <w:sz w:val="18"/>
                <w:szCs w:val="18"/>
              </w:rPr>
            </w:pPr>
            <w:r>
              <w:rPr>
                <w:rFonts w:ascii="Times New Roman" w:hAnsi="Times New Roman" w:cs="Times New Roman" w:hint="eastAsia"/>
                <w:b/>
                <w:sz w:val="18"/>
                <w:szCs w:val="18"/>
                <w:lang w:bidi="ar"/>
              </w:rPr>
              <w:t>三、债务风险状况</w:t>
            </w:r>
          </w:p>
        </w:tc>
        <w:tc>
          <w:tcPr>
            <w:tcW w:w="902" w:type="dxa"/>
            <w:vAlign w:val="center"/>
          </w:tcPr>
          <w:p w14:paraId="49069AD7" w14:textId="77777777" w:rsidR="00BD3166" w:rsidRDefault="00BD3166">
            <w:pPr>
              <w:jc w:val="right"/>
              <w:rPr>
                <w:rFonts w:ascii="Times New Roman" w:hAnsi="Times New Roman" w:cs="Times New Roman"/>
                <w:sz w:val="18"/>
                <w:szCs w:val="18"/>
              </w:rPr>
            </w:pPr>
          </w:p>
        </w:tc>
        <w:tc>
          <w:tcPr>
            <w:tcW w:w="902" w:type="dxa"/>
            <w:vAlign w:val="center"/>
          </w:tcPr>
          <w:p w14:paraId="1D6EFC87" w14:textId="77777777" w:rsidR="00BD3166" w:rsidRDefault="00BD3166">
            <w:pPr>
              <w:jc w:val="right"/>
              <w:rPr>
                <w:rFonts w:ascii="Times New Roman" w:hAnsi="Times New Roman" w:cs="Times New Roman"/>
                <w:sz w:val="18"/>
                <w:szCs w:val="18"/>
              </w:rPr>
            </w:pPr>
          </w:p>
        </w:tc>
        <w:tc>
          <w:tcPr>
            <w:tcW w:w="902" w:type="dxa"/>
            <w:vAlign w:val="center"/>
          </w:tcPr>
          <w:p w14:paraId="45DA9964" w14:textId="77777777" w:rsidR="00BD3166" w:rsidRDefault="00BD3166">
            <w:pPr>
              <w:jc w:val="right"/>
              <w:rPr>
                <w:rFonts w:ascii="Times New Roman" w:hAnsi="Times New Roman" w:cs="Times New Roman"/>
                <w:sz w:val="18"/>
                <w:szCs w:val="18"/>
              </w:rPr>
            </w:pPr>
          </w:p>
        </w:tc>
        <w:tc>
          <w:tcPr>
            <w:tcW w:w="903" w:type="dxa"/>
            <w:vAlign w:val="center"/>
          </w:tcPr>
          <w:p w14:paraId="6E3B5CB4" w14:textId="77777777" w:rsidR="00BD3166" w:rsidRDefault="00BD3166">
            <w:pPr>
              <w:jc w:val="right"/>
              <w:rPr>
                <w:rFonts w:ascii="Times New Roman" w:hAnsi="Times New Roman" w:cs="Times New Roman"/>
                <w:sz w:val="18"/>
                <w:szCs w:val="18"/>
              </w:rPr>
            </w:pPr>
          </w:p>
        </w:tc>
        <w:tc>
          <w:tcPr>
            <w:tcW w:w="903" w:type="dxa"/>
            <w:vAlign w:val="center"/>
          </w:tcPr>
          <w:p w14:paraId="76605B40" w14:textId="77777777" w:rsidR="00BD3166" w:rsidRDefault="00BD3166">
            <w:pPr>
              <w:jc w:val="right"/>
              <w:rPr>
                <w:rFonts w:ascii="Times New Roman" w:hAnsi="Times New Roman" w:cs="Times New Roman"/>
                <w:sz w:val="18"/>
                <w:szCs w:val="18"/>
              </w:rPr>
            </w:pPr>
          </w:p>
        </w:tc>
      </w:tr>
      <w:tr w:rsidR="00BD3166" w14:paraId="1797C647" w14:textId="77777777">
        <w:trPr>
          <w:trHeight w:val="191"/>
          <w:jc w:val="center"/>
        </w:trPr>
        <w:tc>
          <w:tcPr>
            <w:tcW w:w="2285" w:type="pct"/>
            <w:vAlign w:val="center"/>
          </w:tcPr>
          <w:p w14:paraId="44FB5440" w14:textId="77777777" w:rsidR="00BD3166" w:rsidRDefault="00C64679">
            <w:pPr>
              <w:widowControl/>
              <w:jc w:val="left"/>
              <w:textAlignment w:val="center"/>
              <w:rPr>
                <w:rFonts w:ascii="Times New Roman" w:hAnsi="Times New Roman" w:cs="Times New Roman"/>
                <w:sz w:val="18"/>
                <w:szCs w:val="18"/>
              </w:rPr>
            </w:pPr>
            <w:r>
              <w:rPr>
                <w:rFonts w:ascii="Times New Roman" w:hAnsi="Times New Roman" w:cs="Times New Roman" w:hint="eastAsia"/>
                <w:sz w:val="18"/>
                <w:szCs w:val="18"/>
                <w:lang w:bidi="ar"/>
              </w:rPr>
              <w:t>资产负债率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得分</w:t>
            </w:r>
          </w:p>
        </w:tc>
        <w:tc>
          <w:tcPr>
            <w:tcW w:w="902" w:type="dxa"/>
            <w:vAlign w:val="center"/>
          </w:tcPr>
          <w:p w14:paraId="78DC0558"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10</w:t>
            </w:r>
          </w:p>
        </w:tc>
        <w:tc>
          <w:tcPr>
            <w:tcW w:w="902" w:type="dxa"/>
            <w:vAlign w:val="center"/>
          </w:tcPr>
          <w:p w14:paraId="2BC608F7"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8</w:t>
            </w:r>
          </w:p>
        </w:tc>
        <w:tc>
          <w:tcPr>
            <w:tcW w:w="902" w:type="dxa"/>
            <w:vAlign w:val="center"/>
          </w:tcPr>
          <w:p w14:paraId="6752B947"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6</w:t>
            </w:r>
          </w:p>
        </w:tc>
        <w:tc>
          <w:tcPr>
            <w:tcW w:w="903" w:type="dxa"/>
            <w:vAlign w:val="center"/>
          </w:tcPr>
          <w:p w14:paraId="6B9AD8EB"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4</w:t>
            </w:r>
          </w:p>
        </w:tc>
        <w:tc>
          <w:tcPr>
            <w:tcW w:w="903" w:type="dxa"/>
            <w:vAlign w:val="center"/>
          </w:tcPr>
          <w:p w14:paraId="2E80A070"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2</w:t>
            </w:r>
          </w:p>
        </w:tc>
      </w:tr>
      <w:tr w:rsidR="00BD3166" w14:paraId="29FA91A3" w14:textId="77777777">
        <w:trPr>
          <w:trHeight w:val="191"/>
          <w:jc w:val="center"/>
        </w:trPr>
        <w:tc>
          <w:tcPr>
            <w:tcW w:w="2285" w:type="pct"/>
            <w:vAlign w:val="center"/>
          </w:tcPr>
          <w:p w14:paraId="349E4040" w14:textId="77777777" w:rsidR="00BD3166" w:rsidRDefault="00C64679">
            <w:pPr>
              <w:widowControl/>
              <w:jc w:val="left"/>
              <w:textAlignment w:val="center"/>
              <w:rPr>
                <w:rFonts w:ascii="Times New Roman" w:hAnsi="Times New Roman" w:cs="Times New Roman"/>
                <w:sz w:val="18"/>
                <w:szCs w:val="18"/>
              </w:rPr>
            </w:pPr>
            <w:r>
              <w:rPr>
                <w:rFonts w:ascii="Times New Roman" w:hAnsi="Times New Roman" w:cs="Times New Roman" w:hint="eastAsia"/>
                <w:sz w:val="18"/>
                <w:szCs w:val="18"/>
                <w:lang w:bidi="ar"/>
              </w:rPr>
              <w:t>速动比率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得分</w:t>
            </w:r>
          </w:p>
        </w:tc>
        <w:tc>
          <w:tcPr>
            <w:tcW w:w="902" w:type="dxa"/>
            <w:vAlign w:val="center"/>
          </w:tcPr>
          <w:p w14:paraId="3613A267"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10</w:t>
            </w:r>
          </w:p>
        </w:tc>
        <w:tc>
          <w:tcPr>
            <w:tcW w:w="902" w:type="dxa"/>
            <w:vAlign w:val="center"/>
          </w:tcPr>
          <w:p w14:paraId="2A4A2A60"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8</w:t>
            </w:r>
          </w:p>
        </w:tc>
        <w:tc>
          <w:tcPr>
            <w:tcW w:w="902" w:type="dxa"/>
            <w:vAlign w:val="center"/>
          </w:tcPr>
          <w:p w14:paraId="7A48805C"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6</w:t>
            </w:r>
          </w:p>
        </w:tc>
        <w:tc>
          <w:tcPr>
            <w:tcW w:w="903" w:type="dxa"/>
            <w:vAlign w:val="center"/>
          </w:tcPr>
          <w:p w14:paraId="4A71414F"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4</w:t>
            </w:r>
          </w:p>
        </w:tc>
        <w:tc>
          <w:tcPr>
            <w:tcW w:w="903" w:type="dxa"/>
            <w:vAlign w:val="center"/>
          </w:tcPr>
          <w:p w14:paraId="75E33F26"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2</w:t>
            </w:r>
          </w:p>
        </w:tc>
      </w:tr>
      <w:tr w:rsidR="00BD3166" w14:paraId="36E21F57" w14:textId="77777777">
        <w:trPr>
          <w:trHeight w:val="191"/>
          <w:jc w:val="center"/>
        </w:trPr>
        <w:tc>
          <w:tcPr>
            <w:tcW w:w="2285" w:type="pct"/>
            <w:vAlign w:val="center"/>
          </w:tcPr>
          <w:p w14:paraId="0CB1E55F" w14:textId="77777777" w:rsidR="00BD3166" w:rsidRDefault="00C64679">
            <w:pPr>
              <w:widowControl/>
              <w:jc w:val="left"/>
              <w:textAlignment w:val="center"/>
              <w:rPr>
                <w:rFonts w:ascii="Times New Roman" w:hAnsi="Times New Roman" w:cs="Times New Roman"/>
                <w:b/>
                <w:sz w:val="18"/>
                <w:szCs w:val="18"/>
              </w:rPr>
            </w:pPr>
            <w:r>
              <w:rPr>
                <w:rFonts w:ascii="Times New Roman" w:hAnsi="Times New Roman" w:cs="Times New Roman" w:hint="eastAsia"/>
                <w:b/>
                <w:sz w:val="18"/>
                <w:szCs w:val="18"/>
                <w:lang w:bidi="ar"/>
              </w:rPr>
              <w:t>四、经营增长状况</w:t>
            </w:r>
          </w:p>
        </w:tc>
        <w:tc>
          <w:tcPr>
            <w:tcW w:w="902" w:type="dxa"/>
            <w:vAlign w:val="center"/>
          </w:tcPr>
          <w:p w14:paraId="1FB9281C" w14:textId="77777777" w:rsidR="00BD3166" w:rsidRDefault="00BD3166">
            <w:pPr>
              <w:jc w:val="right"/>
              <w:rPr>
                <w:rFonts w:ascii="Times New Roman" w:hAnsi="Times New Roman" w:cs="Times New Roman"/>
                <w:sz w:val="18"/>
                <w:szCs w:val="18"/>
              </w:rPr>
            </w:pPr>
          </w:p>
        </w:tc>
        <w:tc>
          <w:tcPr>
            <w:tcW w:w="902" w:type="dxa"/>
            <w:vAlign w:val="center"/>
          </w:tcPr>
          <w:p w14:paraId="1D446F4C" w14:textId="77777777" w:rsidR="00BD3166" w:rsidRDefault="00BD3166">
            <w:pPr>
              <w:jc w:val="right"/>
              <w:rPr>
                <w:rFonts w:ascii="Times New Roman" w:hAnsi="Times New Roman" w:cs="Times New Roman"/>
                <w:sz w:val="18"/>
                <w:szCs w:val="18"/>
              </w:rPr>
            </w:pPr>
          </w:p>
        </w:tc>
        <w:tc>
          <w:tcPr>
            <w:tcW w:w="902" w:type="dxa"/>
            <w:vAlign w:val="center"/>
          </w:tcPr>
          <w:p w14:paraId="656E8821" w14:textId="77777777" w:rsidR="00BD3166" w:rsidRDefault="00BD3166">
            <w:pPr>
              <w:jc w:val="right"/>
              <w:rPr>
                <w:rFonts w:ascii="Times New Roman" w:hAnsi="Times New Roman" w:cs="Times New Roman"/>
                <w:sz w:val="18"/>
                <w:szCs w:val="18"/>
              </w:rPr>
            </w:pPr>
          </w:p>
        </w:tc>
        <w:tc>
          <w:tcPr>
            <w:tcW w:w="903" w:type="dxa"/>
            <w:vAlign w:val="center"/>
          </w:tcPr>
          <w:p w14:paraId="5C694BCE" w14:textId="77777777" w:rsidR="00BD3166" w:rsidRDefault="00BD3166">
            <w:pPr>
              <w:jc w:val="right"/>
              <w:rPr>
                <w:rFonts w:ascii="Times New Roman" w:hAnsi="Times New Roman" w:cs="Times New Roman"/>
                <w:sz w:val="18"/>
                <w:szCs w:val="18"/>
              </w:rPr>
            </w:pPr>
          </w:p>
        </w:tc>
        <w:tc>
          <w:tcPr>
            <w:tcW w:w="903" w:type="dxa"/>
            <w:vAlign w:val="center"/>
          </w:tcPr>
          <w:p w14:paraId="4E8DF44D" w14:textId="77777777" w:rsidR="00BD3166" w:rsidRDefault="00BD3166">
            <w:pPr>
              <w:jc w:val="right"/>
              <w:rPr>
                <w:rFonts w:ascii="Times New Roman" w:hAnsi="Times New Roman" w:cs="Times New Roman"/>
                <w:sz w:val="18"/>
                <w:szCs w:val="18"/>
              </w:rPr>
            </w:pPr>
          </w:p>
        </w:tc>
      </w:tr>
      <w:tr w:rsidR="00BD3166" w14:paraId="6AB6BBBA" w14:textId="77777777">
        <w:trPr>
          <w:trHeight w:val="191"/>
          <w:jc w:val="center"/>
        </w:trPr>
        <w:tc>
          <w:tcPr>
            <w:tcW w:w="2285" w:type="pct"/>
            <w:vAlign w:val="center"/>
          </w:tcPr>
          <w:p w14:paraId="1BD91FA1" w14:textId="77777777" w:rsidR="00BD3166" w:rsidRDefault="00C64679">
            <w:pPr>
              <w:widowControl/>
              <w:jc w:val="left"/>
              <w:textAlignment w:val="center"/>
              <w:rPr>
                <w:rFonts w:ascii="Times New Roman" w:hAnsi="Times New Roman" w:cs="Times New Roman"/>
                <w:sz w:val="18"/>
                <w:szCs w:val="18"/>
              </w:rPr>
            </w:pPr>
            <w:r>
              <w:rPr>
                <w:rFonts w:ascii="Times New Roman" w:hAnsi="Times New Roman" w:cs="Times New Roman" w:hint="eastAsia"/>
                <w:sz w:val="18"/>
                <w:szCs w:val="18"/>
                <w:lang w:bidi="ar"/>
              </w:rPr>
              <w:t>销售</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营业</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增长率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得分</w:t>
            </w:r>
          </w:p>
        </w:tc>
        <w:tc>
          <w:tcPr>
            <w:tcW w:w="902" w:type="dxa"/>
            <w:vAlign w:val="center"/>
          </w:tcPr>
          <w:p w14:paraId="739F20DA"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10</w:t>
            </w:r>
          </w:p>
        </w:tc>
        <w:tc>
          <w:tcPr>
            <w:tcW w:w="902" w:type="dxa"/>
            <w:vAlign w:val="center"/>
          </w:tcPr>
          <w:p w14:paraId="3ABC4255"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8</w:t>
            </w:r>
          </w:p>
        </w:tc>
        <w:tc>
          <w:tcPr>
            <w:tcW w:w="902" w:type="dxa"/>
            <w:vAlign w:val="center"/>
          </w:tcPr>
          <w:p w14:paraId="63498986"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6</w:t>
            </w:r>
          </w:p>
        </w:tc>
        <w:tc>
          <w:tcPr>
            <w:tcW w:w="903" w:type="dxa"/>
            <w:vAlign w:val="center"/>
          </w:tcPr>
          <w:p w14:paraId="172DC0EF"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4</w:t>
            </w:r>
          </w:p>
        </w:tc>
        <w:tc>
          <w:tcPr>
            <w:tcW w:w="903" w:type="dxa"/>
            <w:vAlign w:val="center"/>
          </w:tcPr>
          <w:p w14:paraId="514F4FD7"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2</w:t>
            </w:r>
          </w:p>
        </w:tc>
      </w:tr>
      <w:tr w:rsidR="00BD3166" w14:paraId="396E9C74" w14:textId="77777777">
        <w:trPr>
          <w:trHeight w:val="191"/>
          <w:jc w:val="center"/>
        </w:trPr>
        <w:tc>
          <w:tcPr>
            <w:tcW w:w="2285" w:type="pct"/>
            <w:vAlign w:val="center"/>
          </w:tcPr>
          <w:p w14:paraId="7F4CB97D" w14:textId="77777777" w:rsidR="00BD3166" w:rsidRDefault="00C64679">
            <w:pPr>
              <w:widowControl/>
              <w:jc w:val="left"/>
              <w:textAlignment w:val="center"/>
              <w:rPr>
                <w:rFonts w:ascii="Times New Roman" w:hAnsi="Times New Roman" w:cs="Times New Roman"/>
                <w:sz w:val="18"/>
                <w:szCs w:val="18"/>
              </w:rPr>
            </w:pPr>
            <w:r>
              <w:rPr>
                <w:rFonts w:ascii="Times New Roman" w:hAnsi="Times New Roman" w:cs="Times New Roman" w:hint="eastAsia"/>
                <w:sz w:val="18"/>
                <w:szCs w:val="18"/>
                <w:lang w:bidi="ar"/>
              </w:rPr>
              <w:t>销售</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营业</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利润增长率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得分</w:t>
            </w:r>
          </w:p>
        </w:tc>
        <w:tc>
          <w:tcPr>
            <w:tcW w:w="902" w:type="dxa"/>
            <w:vAlign w:val="center"/>
          </w:tcPr>
          <w:p w14:paraId="3D74F855"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10</w:t>
            </w:r>
          </w:p>
        </w:tc>
        <w:tc>
          <w:tcPr>
            <w:tcW w:w="902" w:type="dxa"/>
            <w:vAlign w:val="center"/>
          </w:tcPr>
          <w:p w14:paraId="4B679B89"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8</w:t>
            </w:r>
          </w:p>
        </w:tc>
        <w:tc>
          <w:tcPr>
            <w:tcW w:w="902" w:type="dxa"/>
            <w:vAlign w:val="center"/>
          </w:tcPr>
          <w:p w14:paraId="60C6BB9F"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6</w:t>
            </w:r>
          </w:p>
        </w:tc>
        <w:tc>
          <w:tcPr>
            <w:tcW w:w="903" w:type="dxa"/>
            <w:vAlign w:val="center"/>
          </w:tcPr>
          <w:p w14:paraId="4318AF55"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4</w:t>
            </w:r>
          </w:p>
        </w:tc>
        <w:tc>
          <w:tcPr>
            <w:tcW w:w="903" w:type="dxa"/>
            <w:vAlign w:val="center"/>
          </w:tcPr>
          <w:p w14:paraId="250B314A"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2</w:t>
            </w:r>
          </w:p>
        </w:tc>
      </w:tr>
      <w:tr w:rsidR="00BD3166" w14:paraId="0AE7AA78" w14:textId="77777777">
        <w:trPr>
          <w:trHeight w:val="271"/>
          <w:jc w:val="center"/>
        </w:trPr>
        <w:tc>
          <w:tcPr>
            <w:tcW w:w="2285" w:type="pct"/>
            <w:vAlign w:val="center"/>
          </w:tcPr>
          <w:p w14:paraId="6374ED4C" w14:textId="77777777" w:rsidR="00BD3166" w:rsidRDefault="00C64679">
            <w:pPr>
              <w:widowControl/>
              <w:jc w:val="left"/>
              <w:textAlignment w:val="center"/>
              <w:rPr>
                <w:rFonts w:ascii="Times New Roman" w:hAnsi="Times New Roman" w:cs="Times New Roman"/>
                <w:sz w:val="18"/>
                <w:szCs w:val="18"/>
              </w:rPr>
            </w:pPr>
            <w:r>
              <w:rPr>
                <w:rFonts w:ascii="Times New Roman" w:hAnsi="Times New Roman" w:cs="Times New Roman" w:hint="eastAsia"/>
                <w:sz w:val="18"/>
                <w:szCs w:val="18"/>
                <w:lang w:bidi="ar"/>
              </w:rPr>
              <w:t>总资产增长率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得分</w:t>
            </w:r>
          </w:p>
        </w:tc>
        <w:tc>
          <w:tcPr>
            <w:tcW w:w="902" w:type="dxa"/>
            <w:vAlign w:val="center"/>
          </w:tcPr>
          <w:p w14:paraId="17C070AD"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10</w:t>
            </w:r>
          </w:p>
        </w:tc>
        <w:tc>
          <w:tcPr>
            <w:tcW w:w="902" w:type="dxa"/>
            <w:vAlign w:val="center"/>
          </w:tcPr>
          <w:p w14:paraId="4CAF5E2F"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8</w:t>
            </w:r>
          </w:p>
        </w:tc>
        <w:tc>
          <w:tcPr>
            <w:tcW w:w="902" w:type="dxa"/>
            <w:vAlign w:val="center"/>
          </w:tcPr>
          <w:p w14:paraId="7EBD19E5"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6</w:t>
            </w:r>
          </w:p>
        </w:tc>
        <w:tc>
          <w:tcPr>
            <w:tcW w:w="903" w:type="dxa"/>
            <w:vAlign w:val="center"/>
          </w:tcPr>
          <w:p w14:paraId="37976AD1"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4</w:t>
            </w:r>
          </w:p>
        </w:tc>
        <w:tc>
          <w:tcPr>
            <w:tcW w:w="903" w:type="dxa"/>
            <w:vAlign w:val="center"/>
          </w:tcPr>
          <w:p w14:paraId="46E99AE2"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2</w:t>
            </w:r>
          </w:p>
        </w:tc>
      </w:tr>
      <w:tr w:rsidR="00BD3166" w14:paraId="4CE2F1BB" w14:textId="77777777">
        <w:trPr>
          <w:trHeight w:val="271"/>
          <w:jc w:val="center"/>
        </w:trPr>
        <w:tc>
          <w:tcPr>
            <w:tcW w:w="2285" w:type="pct"/>
            <w:vAlign w:val="center"/>
          </w:tcPr>
          <w:p w14:paraId="74837351" w14:textId="77777777" w:rsidR="00BD3166" w:rsidRDefault="00C64679">
            <w:pPr>
              <w:widowControl/>
              <w:jc w:val="center"/>
              <w:textAlignment w:val="center"/>
              <w:rPr>
                <w:rFonts w:ascii="Times New Roman" w:hAnsi="Times New Roman" w:cs="Times New Roman"/>
                <w:b/>
                <w:sz w:val="18"/>
                <w:szCs w:val="18"/>
              </w:rPr>
            </w:pPr>
            <w:r>
              <w:rPr>
                <w:rFonts w:ascii="Times New Roman" w:hAnsi="Times New Roman" w:cs="Times New Roman" w:hint="eastAsia"/>
                <w:b/>
                <w:sz w:val="18"/>
                <w:szCs w:val="18"/>
                <w:lang w:bidi="ar"/>
              </w:rPr>
              <w:t>合</w:t>
            </w:r>
            <w:r>
              <w:rPr>
                <w:rFonts w:ascii="Times New Roman" w:hAnsi="Times New Roman" w:cs="Times New Roman"/>
                <w:b/>
                <w:sz w:val="18"/>
                <w:szCs w:val="18"/>
                <w:lang w:bidi="ar"/>
              </w:rPr>
              <w:t xml:space="preserve">   </w:t>
            </w:r>
            <w:r>
              <w:rPr>
                <w:rFonts w:ascii="Times New Roman" w:hAnsi="Times New Roman" w:cs="Times New Roman" w:hint="eastAsia"/>
                <w:b/>
                <w:sz w:val="18"/>
                <w:szCs w:val="18"/>
                <w:lang w:bidi="ar"/>
              </w:rPr>
              <w:t>计</w:t>
            </w:r>
          </w:p>
        </w:tc>
        <w:tc>
          <w:tcPr>
            <w:tcW w:w="902" w:type="dxa"/>
            <w:vAlign w:val="center"/>
          </w:tcPr>
          <w:p w14:paraId="71EBCD54"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100</w:t>
            </w:r>
          </w:p>
        </w:tc>
        <w:tc>
          <w:tcPr>
            <w:tcW w:w="902" w:type="dxa"/>
            <w:vAlign w:val="center"/>
          </w:tcPr>
          <w:p w14:paraId="7E3106B9"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80</w:t>
            </w:r>
          </w:p>
        </w:tc>
        <w:tc>
          <w:tcPr>
            <w:tcW w:w="902" w:type="dxa"/>
            <w:vAlign w:val="center"/>
          </w:tcPr>
          <w:p w14:paraId="39DBE71C"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60</w:t>
            </w:r>
          </w:p>
        </w:tc>
        <w:tc>
          <w:tcPr>
            <w:tcW w:w="903" w:type="dxa"/>
            <w:vAlign w:val="center"/>
          </w:tcPr>
          <w:p w14:paraId="443DF969"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40</w:t>
            </w:r>
          </w:p>
        </w:tc>
        <w:tc>
          <w:tcPr>
            <w:tcW w:w="903" w:type="dxa"/>
            <w:vAlign w:val="center"/>
          </w:tcPr>
          <w:p w14:paraId="1895FBA0" w14:textId="77777777" w:rsidR="00BD3166" w:rsidRDefault="00C64679">
            <w:pPr>
              <w:widowControl/>
              <w:jc w:val="right"/>
              <w:textAlignment w:val="center"/>
              <w:rPr>
                <w:rFonts w:ascii="Times New Roman" w:hAnsi="Times New Roman" w:cs="Times New Roman"/>
                <w:sz w:val="18"/>
                <w:szCs w:val="18"/>
              </w:rPr>
            </w:pPr>
            <w:r>
              <w:rPr>
                <w:rFonts w:ascii="Times New Roman" w:eastAsia="Arial Narrow" w:hAnsi="Times New Roman" w:cs="Times New Roman"/>
                <w:color w:val="000000"/>
                <w:kern w:val="0"/>
                <w:sz w:val="18"/>
                <w:szCs w:val="18"/>
                <w:lang w:bidi="ar"/>
              </w:rPr>
              <w:t>20</w:t>
            </w:r>
          </w:p>
        </w:tc>
      </w:tr>
    </w:tbl>
    <w:p w14:paraId="39606D26" w14:textId="77777777" w:rsidR="00BD3166" w:rsidRDefault="00C64679">
      <w:pPr>
        <w:pStyle w:val="zw"/>
        <w:snapToGrid w:val="0"/>
        <w:rPr>
          <w:rFonts w:eastAsia="宋体" w:cs="Arial Narrow"/>
        </w:rPr>
      </w:pPr>
      <w:r>
        <w:rPr>
          <w:rFonts w:ascii="宋体" w:eastAsia="宋体" w:hAnsi="宋体" w:cs="Arial Narrow" w:hint="eastAsia"/>
        </w:rPr>
        <w:t>3、</w:t>
      </w:r>
      <w:r>
        <w:rPr>
          <w:rFonts w:eastAsia="宋体" w:cs="Arial Narrow" w:hint="eastAsia"/>
        </w:rPr>
        <w:t>根据分级</w:t>
      </w:r>
      <w:proofErr w:type="gramStart"/>
      <w:r>
        <w:rPr>
          <w:rFonts w:eastAsia="宋体" w:cs="Arial Narrow" w:hint="eastAsia"/>
        </w:rPr>
        <w:t>打分表</w:t>
      </w:r>
      <w:proofErr w:type="gramEnd"/>
      <w:r>
        <w:rPr>
          <w:rFonts w:eastAsia="宋体" w:cs="Arial Narrow" w:hint="eastAsia"/>
        </w:rPr>
        <w:t>确定被评估单位和可比上市公司各项指标的分值如下：</w:t>
      </w:r>
    </w:p>
    <w:tbl>
      <w:tblPr>
        <w:tblW w:w="4998" w:type="pct"/>
        <w:jc w:val="center"/>
        <w:tblLook w:val="04A0" w:firstRow="1" w:lastRow="0" w:firstColumn="1" w:lastColumn="0" w:noHBand="0" w:noVBand="1"/>
      </w:tblPr>
      <w:tblGrid>
        <w:gridCol w:w="955"/>
        <w:gridCol w:w="937"/>
        <w:gridCol w:w="621"/>
        <w:gridCol w:w="664"/>
        <w:gridCol w:w="625"/>
        <w:gridCol w:w="13"/>
        <w:gridCol w:w="574"/>
        <w:gridCol w:w="666"/>
        <w:gridCol w:w="26"/>
        <w:gridCol w:w="596"/>
        <w:gridCol w:w="621"/>
        <w:gridCol w:w="728"/>
        <w:gridCol w:w="815"/>
        <w:gridCol w:w="670"/>
        <w:gridCol w:w="8"/>
      </w:tblGrid>
      <w:tr w:rsidR="00BD3166" w14:paraId="50E4486E" w14:textId="77777777">
        <w:trPr>
          <w:gridAfter w:val="1"/>
          <w:wAfter w:w="5" w:type="pct"/>
          <w:trHeight w:val="285"/>
          <w:jc w:val="center"/>
        </w:trPr>
        <w:tc>
          <w:tcPr>
            <w:tcW w:w="1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818F4" w14:textId="77777777" w:rsidR="00BD3166" w:rsidRDefault="00C64679">
            <w:pPr>
              <w:widowControl/>
              <w:jc w:val="center"/>
              <w:rPr>
                <w:rFonts w:ascii="宋体" w:hAnsi="宋体" w:cs="宋体"/>
                <w:b/>
                <w:bCs/>
                <w:kern w:val="0"/>
                <w:sz w:val="18"/>
                <w:szCs w:val="18"/>
              </w:rPr>
            </w:pPr>
            <w:r>
              <w:rPr>
                <w:rFonts w:ascii="宋体" w:hAnsi="宋体" w:cs="宋体" w:hint="eastAsia"/>
                <w:b/>
                <w:bCs/>
                <w:kern w:val="0"/>
                <w:sz w:val="18"/>
                <w:szCs w:val="18"/>
              </w:rPr>
              <w:t>基本信息</w:t>
            </w:r>
          </w:p>
        </w:tc>
        <w:tc>
          <w:tcPr>
            <w:tcW w:w="1141" w:type="pct"/>
            <w:gridSpan w:val="4"/>
            <w:tcBorders>
              <w:top w:val="single" w:sz="4" w:space="0" w:color="auto"/>
              <w:left w:val="nil"/>
              <w:bottom w:val="single" w:sz="4" w:space="0" w:color="auto"/>
              <w:right w:val="single" w:sz="4" w:space="0" w:color="auto"/>
            </w:tcBorders>
            <w:shd w:val="clear" w:color="auto" w:fill="auto"/>
            <w:vAlign w:val="center"/>
          </w:tcPr>
          <w:p w14:paraId="3FF233CA" w14:textId="77777777" w:rsidR="00BD3166" w:rsidRDefault="00C64679">
            <w:pPr>
              <w:widowControl/>
              <w:jc w:val="center"/>
              <w:rPr>
                <w:rFonts w:ascii="宋体" w:hAnsi="宋体" w:cs="宋体"/>
                <w:b/>
                <w:bCs/>
                <w:kern w:val="0"/>
                <w:sz w:val="18"/>
                <w:szCs w:val="18"/>
              </w:rPr>
            </w:pPr>
            <w:r>
              <w:rPr>
                <w:rFonts w:ascii="宋体" w:hAnsi="宋体" w:cs="宋体" w:hint="eastAsia"/>
                <w:b/>
                <w:bCs/>
                <w:kern w:val="0"/>
                <w:sz w:val="18"/>
                <w:szCs w:val="18"/>
              </w:rPr>
              <w:t>盈利能力状况</w:t>
            </w:r>
          </w:p>
        </w:tc>
        <w:tc>
          <w:tcPr>
            <w:tcW w:w="753" w:type="pct"/>
            <w:gridSpan w:val="3"/>
            <w:tcBorders>
              <w:top w:val="single" w:sz="4" w:space="0" w:color="auto"/>
              <w:left w:val="nil"/>
              <w:bottom w:val="single" w:sz="4" w:space="0" w:color="auto"/>
              <w:right w:val="single" w:sz="4" w:space="0" w:color="auto"/>
            </w:tcBorders>
            <w:shd w:val="clear" w:color="auto" w:fill="auto"/>
            <w:vAlign w:val="center"/>
          </w:tcPr>
          <w:p w14:paraId="49B99C7B" w14:textId="77777777" w:rsidR="00BD3166" w:rsidRDefault="00C64679">
            <w:pPr>
              <w:widowControl/>
              <w:jc w:val="center"/>
              <w:rPr>
                <w:rFonts w:ascii="宋体" w:hAnsi="宋体" w:cs="宋体"/>
                <w:b/>
                <w:bCs/>
                <w:kern w:val="0"/>
                <w:sz w:val="18"/>
                <w:szCs w:val="18"/>
              </w:rPr>
            </w:pPr>
            <w:r>
              <w:rPr>
                <w:rFonts w:ascii="宋体" w:hAnsi="宋体" w:cs="宋体" w:hint="eastAsia"/>
                <w:b/>
                <w:bCs/>
                <w:kern w:val="0"/>
                <w:sz w:val="18"/>
                <w:szCs w:val="18"/>
              </w:rPr>
              <w:t>资产质量状况</w:t>
            </w:r>
          </w:p>
        </w:tc>
        <w:tc>
          <w:tcPr>
            <w:tcW w:w="683" w:type="pct"/>
            <w:gridSpan w:val="2"/>
            <w:tcBorders>
              <w:top w:val="single" w:sz="4" w:space="0" w:color="auto"/>
              <w:left w:val="nil"/>
              <w:bottom w:val="single" w:sz="4" w:space="0" w:color="auto"/>
              <w:right w:val="single" w:sz="4" w:space="0" w:color="auto"/>
            </w:tcBorders>
            <w:shd w:val="clear" w:color="auto" w:fill="auto"/>
            <w:vAlign w:val="center"/>
          </w:tcPr>
          <w:p w14:paraId="70B4FB30" w14:textId="77777777" w:rsidR="00BD3166" w:rsidRDefault="00C64679">
            <w:pPr>
              <w:widowControl/>
              <w:jc w:val="center"/>
              <w:rPr>
                <w:rFonts w:ascii="宋体" w:hAnsi="宋体" w:cs="宋体"/>
                <w:b/>
                <w:bCs/>
                <w:kern w:val="0"/>
                <w:sz w:val="18"/>
                <w:szCs w:val="18"/>
              </w:rPr>
            </w:pPr>
            <w:r>
              <w:rPr>
                <w:rFonts w:ascii="宋体" w:hAnsi="宋体" w:cs="宋体" w:hint="eastAsia"/>
                <w:b/>
                <w:bCs/>
                <w:kern w:val="0"/>
                <w:sz w:val="18"/>
                <w:szCs w:val="18"/>
              </w:rPr>
              <w:t>债务风险状况</w:t>
            </w:r>
          </w:p>
        </w:tc>
        <w:tc>
          <w:tcPr>
            <w:tcW w:w="1307" w:type="pct"/>
            <w:gridSpan w:val="3"/>
            <w:tcBorders>
              <w:top w:val="single" w:sz="4" w:space="0" w:color="auto"/>
              <w:left w:val="nil"/>
              <w:bottom w:val="single" w:sz="4" w:space="0" w:color="auto"/>
              <w:right w:val="single" w:sz="4" w:space="0" w:color="auto"/>
            </w:tcBorders>
            <w:shd w:val="clear" w:color="auto" w:fill="auto"/>
            <w:vAlign w:val="center"/>
          </w:tcPr>
          <w:p w14:paraId="6A155ED7" w14:textId="77777777" w:rsidR="00BD3166" w:rsidRDefault="00C64679">
            <w:pPr>
              <w:widowControl/>
              <w:jc w:val="center"/>
              <w:rPr>
                <w:rFonts w:ascii="宋体" w:hAnsi="宋体" w:cs="宋体"/>
                <w:b/>
                <w:bCs/>
                <w:kern w:val="0"/>
                <w:sz w:val="18"/>
                <w:szCs w:val="18"/>
              </w:rPr>
            </w:pPr>
            <w:r>
              <w:rPr>
                <w:rFonts w:ascii="宋体" w:hAnsi="宋体" w:cs="宋体" w:hint="eastAsia"/>
                <w:b/>
                <w:bCs/>
                <w:kern w:val="0"/>
                <w:sz w:val="18"/>
                <w:szCs w:val="18"/>
              </w:rPr>
              <w:t>经营增长状况</w:t>
            </w:r>
          </w:p>
        </w:tc>
      </w:tr>
      <w:tr w:rsidR="00BD3166" w14:paraId="16689C6A" w14:textId="77777777">
        <w:trPr>
          <w:trHeight w:val="540"/>
          <w:jc w:val="center"/>
        </w:trPr>
        <w:tc>
          <w:tcPr>
            <w:tcW w:w="554" w:type="pct"/>
            <w:tcBorders>
              <w:top w:val="nil"/>
              <w:left w:val="single" w:sz="4" w:space="0" w:color="auto"/>
              <w:bottom w:val="single" w:sz="4" w:space="0" w:color="auto"/>
              <w:right w:val="single" w:sz="4" w:space="0" w:color="auto"/>
            </w:tcBorders>
            <w:shd w:val="clear" w:color="auto" w:fill="auto"/>
            <w:vAlign w:val="center"/>
          </w:tcPr>
          <w:p w14:paraId="60BB7422" w14:textId="77777777" w:rsidR="00BD3166" w:rsidRDefault="00C64679">
            <w:pPr>
              <w:widowControl/>
              <w:jc w:val="center"/>
              <w:rPr>
                <w:rFonts w:ascii="宋体" w:hAnsi="宋体" w:cs="宋体"/>
                <w:b/>
                <w:bCs/>
                <w:kern w:val="0"/>
                <w:sz w:val="18"/>
                <w:szCs w:val="18"/>
              </w:rPr>
            </w:pPr>
            <w:r>
              <w:rPr>
                <w:rFonts w:ascii="宋体" w:hAnsi="宋体" w:cs="宋体" w:hint="eastAsia"/>
                <w:b/>
                <w:bCs/>
                <w:kern w:val="0"/>
                <w:sz w:val="18"/>
                <w:szCs w:val="18"/>
              </w:rPr>
              <w:t>证券代码</w:t>
            </w:r>
          </w:p>
        </w:tc>
        <w:tc>
          <w:tcPr>
            <w:tcW w:w="554" w:type="pct"/>
            <w:tcBorders>
              <w:top w:val="nil"/>
              <w:left w:val="nil"/>
              <w:bottom w:val="single" w:sz="4" w:space="0" w:color="auto"/>
              <w:right w:val="single" w:sz="4" w:space="0" w:color="auto"/>
            </w:tcBorders>
            <w:shd w:val="clear" w:color="auto" w:fill="auto"/>
            <w:vAlign w:val="center"/>
          </w:tcPr>
          <w:p w14:paraId="126323D5" w14:textId="77777777" w:rsidR="00BD3166" w:rsidRDefault="00C64679">
            <w:pPr>
              <w:widowControl/>
              <w:jc w:val="center"/>
              <w:rPr>
                <w:rFonts w:ascii="宋体" w:hAnsi="宋体" w:cs="宋体"/>
                <w:b/>
                <w:bCs/>
                <w:kern w:val="0"/>
                <w:sz w:val="18"/>
                <w:szCs w:val="18"/>
              </w:rPr>
            </w:pPr>
            <w:r>
              <w:rPr>
                <w:rFonts w:ascii="宋体" w:hAnsi="宋体" w:cs="宋体" w:hint="eastAsia"/>
                <w:b/>
                <w:bCs/>
                <w:kern w:val="0"/>
                <w:sz w:val="18"/>
                <w:szCs w:val="18"/>
              </w:rPr>
              <w:t>证券简称</w:t>
            </w:r>
          </w:p>
        </w:tc>
        <w:tc>
          <w:tcPr>
            <w:tcW w:w="365" w:type="pct"/>
            <w:tcBorders>
              <w:top w:val="nil"/>
              <w:left w:val="nil"/>
              <w:bottom w:val="single" w:sz="4" w:space="0" w:color="auto"/>
              <w:right w:val="single" w:sz="4" w:space="0" w:color="auto"/>
            </w:tcBorders>
            <w:shd w:val="clear" w:color="auto" w:fill="auto"/>
            <w:vAlign w:val="center"/>
          </w:tcPr>
          <w:p w14:paraId="00624FF1" w14:textId="77777777" w:rsidR="00BD3166" w:rsidRDefault="00C64679">
            <w:pPr>
              <w:widowControl/>
              <w:jc w:val="left"/>
              <w:rPr>
                <w:rFonts w:ascii="宋体" w:hAnsi="宋体" w:cs="宋体"/>
                <w:b/>
                <w:bCs/>
                <w:kern w:val="0"/>
                <w:sz w:val="18"/>
                <w:szCs w:val="18"/>
              </w:rPr>
            </w:pPr>
            <w:r>
              <w:rPr>
                <w:rFonts w:ascii="宋体" w:hAnsi="宋体" w:cs="宋体" w:hint="eastAsia"/>
                <w:b/>
                <w:bCs/>
                <w:kern w:val="0"/>
                <w:sz w:val="18"/>
                <w:szCs w:val="18"/>
              </w:rPr>
              <w:t>净资产收益率</w:t>
            </w:r>
            <w:r>
              <w:rPr>
                <w:rFonts w:ascii="Arial Narrow" w:hAnsi="Arial Narrow" w:cs="宋体"/>
                <w:b/>
                <w:bCs/>
                <w:kern w:val="0"/>
                <w:sz w:val="18"/>
                <w:szCs w:val="18"/>
              </w:rPr>
              <w:t>(%)</w:t>
            </w:r>
          </w:p>
        </w:tc>
        <w:tc>
          <w:tcPr>
            <w:tcW w:w="397" w:type="pct"/>
            <w:tcBorders>
              <w:top w:val="nil"/>
              <w:left w:val="nil"/>
              <w:bottom w:val="single" w:sz="4" w:space="0" w:color="auto"/>
              <w:right w:val="single" w:sz="4" w:space="0" w:color="auto"/>
            </w:tcBorders>
            <w:shd w:val="clear" w:color="auto" w:fill="auto"/>
            <w:vAlign w:val="center"/>
          </w:tcPr>
          <w:p w14:paraId="56A16E72" w14:textId="77777777" w:rsidR="00BD3166" w:rsidRDefault="00C64679">
            <w:pPr>
              <w:widowControl/>
              <w:jc w:val="left"/>
              <w:rPr>
                <w:rFonts w:ascii="宋体" w:hAnsi="宋体" w:cs="宋体"/>
                <w:b/>
                <w:bCs/>
                <w:kern w:val="0"/>
                <w:sz w:val="18"/>
                <w:szCs w:val="18"/>
              </w:rPr>
            </w:pPr>
            <w:r>
              <w:rPr>
                <w:rFonts w:ascii="宋体" w:hAnsi="宋体" w:cs="宋体" w:hint="eastAsia"/>
                <w:b/>
                <w:bCs/>
                <w:kern w:val="0"/>
                <w:sz w:val="18"/>
                <w:szCs w:val="18"/>
              </w:rPr>
              <w:t>总资产报酬率</w:t>
            </w:r>
            <w:r>
              <w:rPr>
                <w:rFonts w:ascii="Arial Narrow" w:hAnsi="Arial Narrow" w:cs="宋体"/>
                <w:b/>
                <w:bCs/>
                <w:kern w:val="0"/>
                <w:sz w:val="18"/>
                <w:szCs w:val="18"/>
              </w:rPr>
              <w:t>(%)</w:t>
            </w:r>
          </w:p>
        </w:tc>
        <w:tc>
          <w:tcPr>
            <w:tcW w:w="371" w:type="pct"/>
            <w:tcBorders>
              <w:top w:val="nil"/>
              <w:left w:val="nil"/>
              <w:bottom w:val="single" w:sz="4" w:space="0" w:color="auto"/>
              <w:right w:val="single" w:sz="4" w:space="0" w:color="auto"/>
            </w:tcBorders>
            <w:shd w:val="clear" w:color="auto" w:fill="auto"/>
            <w:vAlign w:val="center"/>
          </w:tcPr>
          <w:p w14:paraId="0A16F777" w14:textId="77777777" w:rsidR="00BD3166" w:rsidRDefault="00C64679">
            <w:pPr>
              <w:widowControl/>
              <w:jc w:val="center"/>
              <w:rPr>
                <w:rFonts w:ascii="宋体" w:hAnsi="宋体" w:cs="宋体"/>
                <w:b/>
                <w:bCs/>
                <w:kern w:val="0"/>
                <w:sz w:val="18"/>
                <w:szCs w:val="18"/>
              </w:rPr>
            </w:pPr>
            <w:r>
              <w:rPr>
                <w:rFonts w:ascii="宋体" w:hAnsi="宋体" w:cs="宋体" w:hint="eastAsia"/>
                <w:b/>
                <w:bCs/>
                <w:kern w:val="0"/>
                <w:sz w:val="18"/>
                <w:szCs w:val="18"/>
              </w:rPr>
              <w:t>销售</w:t>
            </w:r>
            <w:r>
              <w:rPr>
                <w:rFonts w:ascii="Arial Narrow" w:hAnsi="Arial Narrow" w:cs="宋体"/>
                <w:b/>
                <w:bCs/>
                <w:kern w:val="0"/>
                <w:sz w:val="18"/>
                <w:szCs w:val="18"/>
              </w:rPr>
              <w:t>(</w:t>
            </w:r>
            <w:r>
              <w:rPr>
                <w:rFonts w:ascii="宋体" w:hAnsi="宋体" w:cs="宋体" w:hint="eastAsia"/>
                <w:b/>
                <w:bCs/>
                <w:kern w:val="0"/>
                <w:sz w:val="18"/>
                <w:szCs w:val="18"/>
              </w:rPr>
              <w:t>营业</w:t>
            </w:r>
            <w:r>
              <w:rPr>
                <w:rFonts w:ascii="Arial Narrow" w:hAnsi="Arial Narrow" w:cs="宋体"/>
                <w:b/>
                <w:bCs/>
                <w:kern w:val="0"/>
                <w:sz w:val="18"/>
                <w:szCs w:val="18"/>
              </w:rPr>
              <w:t>)</w:t>
            </w:r>
            <w:r>
              <w:rPr>
                <w:rFonts w:ascii="宋体" w:hAnsi="宋体" w:cs="宋体" w:hint="eastAsia"/>
                <w:b/>
                <w:bCs/>
                <w:kern w:val="0"/>
                <w:sz w:val="18"/>
                <w:szCs w:val="18"/>
              </w:rPr>
              <w:t>利润率</w:t>
            </w:r>
            <w:r>
              <w:rPr>
                <w:rFonts w:ascii="Arial Narrow" w:hAnsi="Arial Narrow" w:cs="宋体"/>
                <w:b/>
                <w:bCs/>
                <w:kern w:val="0"/>
                <w:sz w:val="18"/>
                <w:szCs w:val="18"/>
              </w:rPr>
              <w:t>(%)</w:t>
            </w:r>
          </w:p>
        </w:tc>
        <w:tc>
          <w:tcPr>
            <w:tcW w:w="352" w:type="pct"/>
            <w:gridSpan w:val="2"/>
            <w:tcBorders>
              <w:top w:val="nil"/>
              <w:left w:val="nil"/>
              <w:bottom w:val="single" w:sz="4" w:space="0" w:color="auto"/>
              <w:right w:val="single" w:sz="4" w:space="0" w:color="auto"/>
            </w:tcBorders>
            <w:shd w:val="clear" w:color="auto" w:fill="auto"/>
            <w:vAlign w:val="center"/>
          </w:tcPr>
          <w:p w14:paraId="2E204F3F" w14:textId="77777777" w:rsidR="00BD3166" w:rsidRDefault="00C64679">
            <w:pPr>
              <w:widowControl/>
              <w:jc w:val="left"/>
              <w:rPr>
                <w:rFonts w:ascii="宋体" w:hAnsi="宋体" w:cs="宋体"/>
                <w:b/>
                <w:bCs/>
                <w:kern w:val="0"/>
                <w:sz w:val="18"/>
                <w:szCs w:val="18"/>
              </w:rPr>
            </w:pPr>
            <w:r>
              <w:rPr>
                <w:rFonts w:ascii="宋体" w:hAnsi="宋体" w:cs="宋体" w:hint="eastAsia"/>
                <w:b/>
                <w:bCs/>
                <w:kern w:val="0"/>
                <w:sz w:val="18"/>
                <w:szCs w:val="18"/>
              </w:rPr>
              <w:t>总资产周转率</w:t>
            </w:r>
            <w:r>
              <w:rPr>
                <w:rFonts w:ascii="Arial Narrow" w:hAnsi="Arial Narrow" w:cs="宋体"/>
                <w:b/>
                <w:bCs/>
                <w:kern w:val="0"/>
                <w:sz w:val="18"/>
                <w:szCs w:val="18"/>
              </w:rPr>
              <w:t>(</w:t>
            </w:r>
            <w:r>
              <w:rPr>
                <w:rFonts w:ascii="宋体" w:hAnsi="宋体" w:cs="宋体" w:hint="eastAsia"/>
                <w:b/>
                <w:bCs/>
                <w:kern w:val="0"/>
                <w:sz w:val="18"/>
                <w:szCs w:val="18"/>
              </w:rPr>
              <w:t>次</w:t>
            </w:r>
            <w:r>
              <w:rPr>
                <w:rFonts w:ascii="Arial Narrow" w:hAnsi="Arial Narrow" w:cs="宋体"/>
                <w:b/>
                <w:bCs/>
                <w:kern w:val="0"/>
                <w:sz w:val="18"/>
                <w:szCs w:val="18"/>
              </w:rPr>
              <w:t>)</w:t>
            </w:r>
          </w:p>
        </w:tc>
        <w:tc>
          <w:tcPr>
            <w:tcW w:w="394" w:type="pct"/>
            <w:tcBorders>
              <w:top w:val="nil"/>
              <w:left w:val="nil"/>
              <w:bottom w:val="single" w:sz="4" w:space="0" w:color="auto"/>
              <w:right w:val="single" w:sz="4" w:space="0" w:color="auto"/>
            </w:tcBorders>
            <w:shd w:val="clear" w:color="auto" w:fill="auto"/>
            <w:vAlign w:val="center"/>
          </w:tcPr>
          <w:p w14:paraId="288CF483" w14:textId="77777777" w:rsidR="00BD3166" w:rsidRDefault="00C64679">
            <w:pPr>
              <w:widowControl/>
              <w:jc w:val="center"/>
              <w:rPr>
                <w:rFonts w:ascii="宋体" w:hAnsi="宋体" w:cs="宋体"/>
                <w:b/>
                <w:bCs/>
                <w:kern w:val="0"/>
                <w:sz w:val="18"/>
                <w:szCs w:val="18"/>
              </w:rPr>
            </w:pPr>
            <w:r>
              <w:rPr>
                <w:rFonts w:ascii="宋体" w:hAnsi="宋体" w:cs="宋体" w:hint="eastAsia"/>
                <w:b/>
                <w:bCs/>
                <w:kern w:val="0"/>
                <w:sz w:val="18"/>
                <w:szCs w:val="18"/>
              </w:rPr>
              <w:t>应收账款周转率</w:t>
            </w:r>
            <w:r>
              <w:rPr>
                <w:rFonts w:ascii="Arial Narrow" w:hAnsi="Arial Narrow" w:cs="宋体"/>
                <w:b/>
                <w:bCs/>
                <w:kern w:val="0"/>
                <w:sz w:val="18"/>
                <w:szCs w:val="18"/>
              </w:rPr>
              <w:t>(</w:t>
            </w:r>
            <w:r>
              <w:rPr>
                <w:rFonts w:ascii="宋体" w:hAnsi="宋体" w:cs="宋体" w:hint="eastAsia"/>
                <w:b/>
                <w:bCs/>
                <w:kern w:val="0"/>
                <w:sz w:val="18"/>
                <w:szCs w:val="18"/>
              </w:rPr>
              <w:t>次</w:t>
            </w:r>
            <w:r>
              <w:rPr>
                <w:rFonts w:ascii="Arial Narrow" w:hAnsi="Arial Narrow" w:cs="宋体"/>
                <w:b/>
                <w:bCs/>
                <w:kern w:val="0"/>
                <w:sz w:val="18"/>
                <w:szCs w:val="18"/>
              </w:rPr>
              <w:t>)</w:t>
            </w:r>
          </w:p>
        </w:tc>
        <w:tc>
          <w:tcPr>
            <w:tcW w:w="362" w:type="pct"/>
            <w:gridSpan w:val="2"/>
            <w:tcBorders>
              <w:top w:val="nil"/>
              <w:left w:val="nil"/>
              <w:bottom w:val="single" w:sz="4" w:space="0" w:color="auto"/>
              <w:right w:val="single" w:sz="4" w:space="0" w:color="auto"/>
            </w:tcBorders>
            <w:shd w:val="clear" w:color="auto" w:fill="auto"/>
            <w:vAlign w:val="center"/>
          </w:tcPr>
          <w:p w14:paraId="428D0A26" w14:textId="77777777" w:rsidR="00BD3166" w:rsidRDefault="00C64679">
            <w:pPr>
              <w:widowControl/>
              <w:jc w:val="left"/>
              <w:rPr>
                <w:rFonts w:ascii="宋体" w:hAnsi="宋体" w:cs="宋体"/>
                <w:b/>
                <w:bCs/>
                <w:kern w:val="0"/>
                <w:sz w:val="18"/>
                <w:szCs w:val="18"/>
              </w:rPr>
            </w:pPr>
            <w:r>
              <w:rPr>
                <w:rFonts w:ascii="宋体" w:hAnsi="宋体" w:cs="宋体" w:hint="eastAsia"/>
                <w:b/>
                <w:bCs/>
                <w:kern w:val="0"/>
                <w:sz w:val="18"/>
                <w:szCs w:val="18"/>
              </w:rPr>
              <w:t>资产负债率</w:t>
            </w:r>
            <w:r>
              <w:rPr>
                <w:rFonts w:ascii="Arial Narrow" w:hAnsi="Arial Narrow" w:cs="宋体"/>
                <w:b/>
                <w:bCs/>
                <w:kern w:val="0"/>
                <w:sz w:val="18"/>
                <w:szCs w:val="18"/>
              </w:rPr>
              <w:t>(%)</w:t>
            </w:r>
          </w:p>
        </w:tc>
        <w:tc>
          <w:tcPr>
            <w:tcW w:w="333" w:type="pct"/>
            <w:tcBorders>
              <w:top w:val="nil"/>
              <w:left w:val="nil"/>
              <w:bottom w:val="single" w:sz="4" w:space="0" w:color="auto"/>
              <w:right w:val="single" w:sz="4" w:space="0" w:color="auto"/>
            </w:tcBorders>
            <w:shd w:val="clear" w:color="auto" w:fill="auto"/>
            <w:vAlign w:val="center"/>
          </w:tcPr>
          <w:p w14:paraId="37CB355D" w14:textId="77777777" w:rsidR="00BD3166" w:rsidRDefault="00C64679">
            <w:pPr>
              <w:widowControl/>
              <w:rPr>
                <w:rFonts w:ascii="宋体" w:hAnsi="宋体" w:cs="宋体"/>
                <w:b/>
                <w:bCs/>
                <w:kern w:val="0"/>
                <w:sz w:val="18"/>
                <w:szCs w:val="18"/>
              </w:rPr>
            </w:pPr>
            <w:r>
              <w:rPr>
                <w:rFonts w:ascii="宋体" w:hAnsi="宋体" w:cs="宋体" w:hint="eastAsia"/>
                <w:b/>
                <w:bCs/>
                <w:kern w:val="0"/>
                <w:sz w:val="18"/>
                <w:szCs w:val="18"/>
              </w:rPr>
              <w:t>速动比率</w:t>
            </w:r>
          </w:p>
        </w:tc>
        <w:tc>
          <w:tcPr>
            <w:tcW w:w="430" w:type="pct"/>
            <w:tcBorders>
              <w:top w:val="nil"/>
              <w:left w:val="nil"/>
              <w:bottom w:val="single" w:sz="4" w:space="0" w:color="auto"/>
              <w:right w:val="single" w:sz="4" w:space="0" w:color="auto"/>
            </w:tcBorders>
            <w:shd w:val="clear" w:color="auto" w:fill="auto"/>
            <w:vAlign w:val="center"/>
          </w:tcPr>
          <w:p w14:paraId="09CAF74C" w14:textId="77777777" w:rsidR="00BD3166" w:rsidRDefault="00C64679">
            <w:pPr>
              <w:widowControl/>
              <w:jc w:val="left"/>
              <w:rPr>
                <w:rFonts w:ascii="宋体" w:hAnsi="宋体" w:cs="宋体"/>
                <w:b/>
                <w:bCs/>
                <w:kern w:val="0"/>
                <w:sz w:val="18"/>
                <w:szCs w:val="18"/>
              </w:rPr>
            </w:pPr>
            <w:r>
              <w:rPr>
                <w:rFonts w:ascii="宋体" w:hAnsi="宋体" w:cs="宋体" w:hint="eastAsia"/>
                <w:b/>
                <w:bCs/>
                <w:kern w:val="0"/>
                <w:sz w:val="18"/>
                <w:szCs w:val="18"/>
              </w:rPr>
              <w:t>销售</w:t>
            </w:r>
            <w:r>
              <w:rPr>
                <w:rFonts w:ascii="Arial Narrow" w:hAnsi="Arial Narrow" w:cs="宋体"/>
                <w:b/>
                <w:bCs/>
                <w:kern w:val="0"/>
                <w:sz w:val="18"/>
                <w:szCs w:val="18"/>
              </w:rPr>
              <w:t>(</w:t>
            </w:r>
            <w:r>
              <w:rPr>
                <w:rFonts w:ascii="宋体" w:hAnsi="宋体" w:cs="宋体" w:hint="eastAsia"/>
                <w:b/>
                <w:bCs/>
                <w:kern w:val="0"/>
                <w:sz w:val="18"/>
                <w:szCs w:val="18"/>
              </w:rPr>
              <w:t>营业</w:t>
            </w:r>
            <w:r>
              <w:rPr>
                <w:rFonts w:ascii="Arial Narrow" w:hAnsi="Arial Narrow" w:cs="宋体"/>
                <w:b/>
                <w:bCs/>
                <w:kern w:val="0"/>
                <w:sz w:val="18"/>
                <w:szCs w:val="18"/>
              </w:rPr>
              <w:t>)</w:t>
            </w:r>
            <w:r>
              <w:rPr>
                <w:rFonts w:ascii="宋体" w:hAnsi="宋体" w:cs="宋体" w:hint="eastAsia"/>
                <w:b/>
                <w:bCs/>
                <w:kern w:val="0"/>
                <w:sz w:val="18"/>
                <w:szCs w:val="18"/>
              </w:rPr>
              <w:t>增长率</w:t>
            </w:r>
            <w:r>
              <w:rPr>
                <w:rFonts w:ascii="Arial Narrow" w:hAnsi="Arial Narrow" w:cs="宋体"/>
                <w:b/>
                <w:bCs/>
                <w:kern w:val="0"/>
                <w:sz w:val="18"/>
                <w:szCs w:val="18"/>
              </w:rPr>
              <w:t>(%)</w:t>
            </w:r>
          </w:p>
        </w:tc>
        <w:tc>
          <w:tcPr>
            <w:tcW w:w="481" w:type="pct"/>
            <w:tcBorders>
              <w:top w:val="nil"/>
              <w:left w:val="nil"/>
              <w:bottom w:val="single" w:sz="4" w:space="0" w:color="auto"/>
              <w:right w:val="single" w:sz="4" w:space="0" w:color="auto"/>
            </w:tcBorders>
            <w:shd w:val="clear" w:color="auto" w:fill="auto"/>
            <w:vAlign w:val="center"/>
          </w:tcPr>
          <w:p w14:paraId="4A7DCF2A" w14:textId="77777777" w:rsidR="00BD3166" w:rsidRDefault="00C64679">
            <w:pPr>
              <w:widowControl/>
              <w:jc w:val="left"/>
              <w:rPr>
                <w:rFonts w:ascii="宋体" w:hAnsi="宋体" w:cs="宋体"/>
                <w:b/>
                <w:bCs/>
                <w:kern w:val="0"/>
                <w:sz w:val="18"/>
                <w:szCs w:val="18"/>
              </w:rPr>
            </w:pPr>
            <w:r>
              <w:rPr>
                <w:rFonts w:ascii="宋体" w:hAnsi="宋体" w:cs="宋体" w:hint="eastAsia"/>
                <w:b/>
                <w:bCs/>
                <w:kern w:val="0"/>
                <w:sz w:val="18"/>
                <w:szCs w:val="18"/>
              </w:rPr>
              <w:t>销售</w:t>
            </w:r>
            <w:r>
              <w:rPr>
                <w:rFonts w:ascii="Arial Narrow" w:hAnsi="Arial Narrow" w:cs="宋体"/>
                <w:b/>
                <w:bCs/>
                <w:kern w:val="0"/>
                <w:sz w:val="18"/>
                <w:szCs w:val="18"/>
              </w:rPr>
              <w:t>(</w:t>
            </w:r>
            <w:r>
              <w:rPr>
                <w:rFonts w:ascii="宋体" w:hAnsi="宋体" w:cs="宋体" w:hint="eastAsia"/>
                <w:b/>
                <w:bCs/>
                <w:kern w:val="0"/>
                <w:sz w:val="18"/>
                <w:szCs w:val="18"/>
              </w:rPr>
              <w:t>营业</w:t>
            </w:r>
            <w:r>
              <w:rPr>
                <w:rFonts w:ascii="Arial Narrow" w:hAnsi="Arial Narrow" w:cs="宋体"/>
                <w:b/>
                <w:bCs/>
                <w:kern w:val="0"/>
                <w:sz w:val="18"/>
                <w:szCs w:val="18"/>
              </w:rPr>
              <w:t>)</w:t>
            </w:r>
            <w:r>
              <w:rPr>
                <w:rFonts w:ascii="宋体" w:hAnsi="宋体" w:cs="宋体" w:hint="eastAsia"/>
                <w:b/>
                <w:bCs/>
                <w:kern w:val="0"/>
                <w:sz w:val="18"/>
                <w:szCs w:val="18"/>
              </w:rPr>
              <w:t>利润增长率</w:t>
            </w:r>
            <w:r>
              <w:rPr>
                <w:rFonts w:ascii="Arial Narrow" w:hAnsi="Arial Narrow" w:cs="宋体"/>
                <w:b/>
                <w:bCs/>
                <w:kern w:val="0"/>
                <w:sz w:val="18"/>
                <w:szCs w:val="18"/>
              </w:rPr>
              <w:t>(%)</w:t>
            </w:r>
          </w:p>
        </w:tc>
        <w:tc>
          <w:tcPr>
            <w:tcW w:w="401" w:type="pct"/>
            <w:gridSpan w:val="2"/>
            <w:tcBorders>
              <w:top w:val="nil"/>
              <w:left w:val="nil"/>
              <w:bottom w:val="single" w:sz="4" w:space="0" w:color="auto"/>
              <w:right w:val="single" w:sz="4" w:space="0" w:color="auto"/>
            </w:tcBorders>
            <w:shd w:val="clear" w:color="auto" w:fill="auto"/>
            <w:vAlign w:val="center"/>
          </w:tcPr>
          <w:p w14:paraId="57814CB5" w14:textId="77777777" w:rsidR="00BD3166" w:rsidRDefault="00C64679">
            <w:pPr>
              <w:widowControl/>
              <w:jc w:val="left"/>
              <w:rPr>
                <w:rFonts w:ascii="宋体" w:hAnsi="宋体" w:cs="宋体"/>
                <w:b/>
                <w:bCs/>
                <w:kern w:val="0"/>
                <w:sz w:val="18"/>
                <w:szCs w:val="18"/>
              </w:rPr>
            </w:pPr>
            <w:r>
              <w:rPr>
                <w:rFonts w:ascii="宋体" w:hAnsi="宋体" w:cs="宋体" w:hint="eastAsia"/>
                <w:b/>
                <w:bCs/>
                <w:kern w:val="0"/>
                <w:sz w:val="18"/>
                <w:szCs w:val="18"/>
              </w:rPr>
              <w:t>总资产增长率</w:t>
            </w:r>
            <w:r>
              <w:rPr>
                <w:rFonts w:ascii="Arial Narrow" w:hAnsi="Arial Narrow" w:cs="宋体"/>
                <w:b/>
                <w:bCs/>
                <w:kern w:val="0"/>
                <w:sz w:val="18"/>
                <w:szCs w:val="18"/>
              </w:rPr>
              <w:t>(%)</w:t>
            </w:r>
          </w:p>
        </w:tc>
      </w:tr>
      <w:tr w:rsidR="00BD3166" w14:paraId="65746EDF" w14:textId="77777777">
        <w:trPr>
          <w:trHeight w:val="285"/>
          <w:jc w:val="center"/>
        </w:trPr>
        <w:tc>
          <w:tcPr>
            <w:tcW w:w="1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54E1F" w14:textId="77777777" w:rsidR="00BD3166" w:rsidRDefault="00C64679">
            <w:pPr>
              <w:widowControl/>
              <w:jc w:val="center"/>
              <w:rPr>
                <w:rFonts w:ascii="宋体" w:hAnsi="宋体" w:cs="宋体"/>
                <w:kern w:val="0"/>
                <w:sz w:val="18"/>
                <w:szCs w:val="18"/>
              </w:rPr>
            </w:pPr>
            <w:r>
              <w:rPr>
                <w:rFonts w:ascii="宋体" w:hAnsi="宋体" w:cs="宋体" w:hint="eastAsia"/>
                <w:kern w:val="0"/>
                <w:sz w:val="18"/>
                <w:szCs w:val="18"/>
              </w:rPr>
              <w:t>大唐微电子</w:t>
            </w:r>
          </w:p>
        </w:tc>
        <w:tc>
          <w:tcPr>
            <w:tcW w:w="365" w:type="pct"/>
            <w:tcBorders>
              <w:top w:val="nil"/>
              <w:left w:val="nil"/>
              <w:bottom w:val="single" w:sz="4" w:space="0" w:color="auto"/>
              <w:right w:val="single" w:sz="4" w:space="0" w:color="auto"/>
            </w:tcBorders>
            <w:shd w:val="clear" w:color="auto" w:fill="auto"/>
            <w:vAlign w:val="center"/>
          </w:tcPr>
          <w:p w14:paraId="6BD2DD44"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9.18</w:t>
            </w:r>
          </w:p>
        </w:tc>
        <w:tc>
          <w:tcPr>
            <w:tcW w:w="397" w:type="pct"/>
            <w:tcBorders>
              <w:top w:val="nil"/>
              <w:left w:val="nil"/>
              <w:bottom w:val="single" w:sz="4" w:space="0" w:color="auto"/>
              <w:right w:val="single" w:sz="4" w:space="0" w:color="auto"/>
            </w:tcBorders>
            <w:shd w:val="clear" w:color="auto" w:fill="auto"/>
            <w:vAlign w:val="center"/>
          </w:tcPr>
          <w:p w14:paraId="137F6A06"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8.83</w:t>
            </w:r>
          </w:p>
        </w:tc>
        <w:tc>
          <w:tcPr>
            <w:tcW w:w="371" w:type="pct"/>
            <w:tcBorders>
              <w:top w:val="nil"/>
              <w:left w:val="nil"/>
              <w:bottom w:val="single" w:sz="4" w:space="0" w:color="auto"/>
              <w:right w:val="single" w:sz="4" w:space="0" w:color="auto"/>
            </w:tcBorders>
            <w:shd w:val="clear" w:color="auto" w:fill="auto"/>
            <w:vAlign w:val="center"/>
          </w:tcPr>
          <w:p w14:paraId="1A132673"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10.51</w:t>
            </w:r>
          </w:p>
        </w:tc>
        <w:tc>
          <w:tcPr>
            <w:tcW w:w="352" w:type="pct"/>
            <w:gridSpan w:val="2"/>
            <w:tcBorders>
              <w:top w:val="nil"/>
              <w:left w:val="nil"/>
              <w:bottom w:val="single" w:sz="4" w:space="0" w:color="auto"/>
              <w:right w:val="single" w:sz="4" w:space="0" w:color="auto"/>
            </w:tcBorders>
            <w:shd w:val="clear" w:color="auto" w:fill="auto"/>
            <w:vAlign w:val="center"/>
          </w:tcPr>
          <w:p w14:paraId="6BB6BB14"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1.14</w:t>
            </w:r>
          </w:p>
        </w:tc>
        <w:tc>
          <w:tcPr>
            <w:tcW w:w="394" w:type="pct"/>
            <w:tcBorders>
              <w:top w:val="nil"/>
              <w:left w:val="nil"/>
              <w:bottom w:val="single" w:sz="4" w:space="0" w:color="auto"/>
              <w:right w:val="single" w:sz="4" w:space="0" w:color="auto"/>
            </w:tcBorders>
            <w:shd w:val="clear" w:color="auto" w:fill="auto"/>
            <w:vAlign w:val="center"/>
          </w:tcPr>
          <w:p w14:paraId="5C33DC09"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2.05</w:t>
            </w:r>
          </w:p>
        </w:tc>
        <w:tc>
          <w:tcPr>
            <w:tcW w:w="362" w:type="pct"/>
            <w:gridSpan w:val="2"/>
            <w:tcBorders>
              <w:top w:val="nil"/>
              <w:left w:val="nil"/>
              <w:bottom w:val="single" w:sz="4" w:space="0" w:color="auto"/>
              <w:right w:val="single" w:sz="4" w:space="0" w:color="auto"/>
            </w:tcBorders>
            <w:shd w:val="clear" w:color="auto" w:fill="auto"/>
            <w:vAlign w:val="center"/>
          </w:tcPr>
          <w:p w14:paraId="4C8D2327"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4.56</w:t>
            </w:r>
          </w:p>
        </w:tc>
        <w:tc>
          <w:tcPr>
            <w:tcW w:w="333" w:type="pct"/>
            <w:tcBorders>
              <w:top w:val="nil"/>
              <w:left w:val="nil"/>
              <w:bottom w:val="single" w:sz="4" w:space="0" w:color="auto"/>
              <w:right w:val="single" w:sz="4" w:space="0" w:color="auto"/>
            </w:tcBorders>
            <w:shd w:val="clear" w:color="auto" w:fill="auto"/>
            <w:vAlign w:val="center"/>
          </w:tcPr>
          <w:p w14:paraId="5D8A7FDC"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10.11</w:t>
            </w:r>
          </w:p>
        </w:tc>
        <w:tc>
          <w:tcPr>
            <w:tcW w:w="430" w:type="pct"/>
            <w:tcBorders>
              <w:top w:val="nil"/>
              <w:left w:val="nil"/>
              <w:bottom w:val="single" w:sz="4" w:space="0" w:color="auto"/>
              <w:right w:val="single" w:sz="4" w:space="0" w:color="auto"/>
            </w:tcBorders>
            <w:shd w:val="clear" w:color="auto" w:fill="auto"/>
            <w:vAlign w:val="center"/>
          </w:tcPr>
          <w:p w14:paraId="2557FBF5"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0.84</w:t>
            </w:r>
          </w:p>
        </w:tc>
        <w:tc>
          <w:tcPr>
            <w:tcW w:w="481" w:type="pct"/>
            <w:tcBorders>
              <w:top w:val="nil"/>
              <w:left w:val="nil"/>
              <w:bottom w:val="single" w:sz="4" w:space="0" w:color="auto"/>
              <w:right w:val="single" w:sz="4" w:space="0" w:color="auto"/>
            </w:tcBorders>
            <w:shd w:val="clear" w:color="auto" w:fill="auto"/>
            <w:vAlign w:val="center"/>
          </w:tcPr>
          <w:p w14:paraId="3B69A219"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0.51</w:t>
            </w:r>
          </w:p>
        </w:tc>
        <w:tc>
          <w:tcPr>
            <w:tcW w:w="401" w:type="pct"/>
            <w:gridSpan w:val="2"/>
            <w:tcBorders>
              <w:top w:val="nil"/>
              <w:left w:val="nil"/>
              <w:bottom w:val="single" w:sz="4" w:space="0" w:color="auto"/>
              <w:right w:val="single" w:sz="4" w:space="0" w:color="auto"/>
            </w:tcBorders>
            <w:shd w:val="clear" w:color="auto" w:fill="auto"/>
            <w:vAlign w:val="center"/>
          </w:tcPr>
          <w:p w14:paraId="5E7C667B"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9.77</w:t>
            </w:r>
          </w:p>
        </w:tc>
      </w:tr>
      <w:tr w:rsidR="00BD3166" w14:paraId="7F6E3A4D" w14:textId="77777777">
        <w:trPr>
          <w:trHeight w:val="285"/>
          <w:jc w:val="center"/>
        </w:trPr>
        <w:tc>
          <w:tcPr>
            <w:tcW w:w="554" w:type="pct"/>
            <w:tcBorders>
              <w:top w:val="nil"/>
              <w:left w:val="single" w:sz="4" w:space="0" w:color="auto"/>
              <w:bottom w:val="single" w:sz="4" w:space="0" w:color="auto"/>
              <w:right w:val="single" w:sz="4" w:space="0" w:color="auto"/>
            </w:tcBorders>
            <w:shd w:val="clear" w:color="auto" w:fill="auto"/>
            <w:vAlign w:val="center"/>
          </w:tcPr>
          <w:p w14:paraId="3ECE5A52" w14:textId="77777777" w:rsidR="00BD3166" w:rsidRDefault="00C64679">
            <w:pPr>
              <w:widowControl/>
              <w:jc w:val="left"/>
              <w:textAlignment w:val="center"/>
              <w:rPr>
                <w:rFonts w:ascii="Arial Narrow" w:hAnsi="Arial Narrow" w:cs="宋体"/>
                <w:kern w:val="0"/>
                <w:sz w:val="18"/>
                <w:szCs w:val="18"/>
              </w:rPr>
            </w:pPr>
            <w:r>
              <w:rPr>
                <w:rFonts w:ascii="Arial Narrow" w:eastAsia="Arial Narrow" w:hAnsi="Arial Narrow" w:cs="Arial Narrow"/>
                <w:color w:val="000000"/>
                <w:kern w:val="0"/>
                <w:sz w:val="18"/>
                <w:szCs w:val="18"/>
                <w:lang w:bidi="ar"/>
              </w:rPr>
              <w:t>300689.SZ</w:t>
            </w:r>
          </w:p>
        </w:tc>
        <w:tc>
          <w:tcPr>
            <w:tcW w:w="554" w:type="pct"/>
            <w:tcBorders>
              <w:top w:val="nil"/>
              <w:left w:val="nil"/>
              <w:bottom w:val="single" w:sz="4" w:space="0" w:color="auto"/>
              <w:right w:val="single" w:sz="4" w:space="0" w:color="auto"/>
            </w:tcBorders>
            <w:shd w:val="clear" w:color="auto" w:fill="auto"/>
            <w:vAlign w:val="center"/>
          </w:tcPr>
          <w:p w14:paraId="0D6BD88E" w14:textId="77777777" w:rsidR="00BD3166" w:rsidRDefault="00C64679">
            <w:pPr>
              <w:widowControl/>
              <w:jc w:val="left"/>
              <w:textAlignment w:val="center"/>
              <w:rPr>
                <w:rFonts w:ascii="Arial Narrow" w:hAnsi="Arial Narrow" w:cs="宋体"/>
                <w:kern w:val="0"/>
                <w:sz w:val="18"/>
                <w:szCs w:val="18"/>
              </w:rPr>
            </w:pPr>
            <w:proofErr w:type="gramStart"/>
            <w:r>
              <w:rPr>
                <w:rFonts w:ascii="宋体" w:eastAsia="宋体" w:hAnsi="宋体" w:cs="宋体" w:hint="eastAsia"/>
                <w:color w:val="000000"/>
                <w:kern w:val="0"/>
                <w:sz w:val="18"/>
                <w:szCs w:val="18"/>
                <w:lang w:bidi="ar"/>
              </w:rPr>
              <w:t>澄天伟业</w:t>
            </w:r>
            <w:proofErr w:type="gramEnd"/>
          </w:p>
        </w:tc>
        <w:tc>
          <w:tcPr>
            <w:tcW w:w="365" w:type="pct"/>
            <w:tcBorders>
              <w:top w:val="nil"/>
              <w:left w:val="nil"/>
              <w:bottom w:val="single" w:sz="4" w:space="0" w:color="auto"/>
              <w:right w:val="single" w:sz="4" w:space="0" w:color="auto"/>
            </w:tcBorders>
            <w:shd w:val="clear" w:color="auto" w:fill="auto"/>
            <w:vAlign w:val="center"/>
          </w:tcPr>
          <w:p w14:paraId="7D5F6E1D"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5.91</w:t>
            </w:r>
          </w:p>
        </w:tc>
        <w:tc>
          <w:tcPr>
            <w:tcW w:w="397" w:type="pct"/>
            <w:tcBorders>
              <w:top w:val="nil"/>
              <w:left w:val="nil"/>
              <w:bottom w:val="single" w:sz="4" w:space="0" w:color="auto"/>
              <w:right w:val="single" w:sz="4" w:space="0" w:color="auto"/>
            </w:tcBorders>
            <w:shd w:val="clear" w:color="auto" w:fill="auto"/>
            <w:vAlign w:val="center"/>
          </w:tcPr>
          <w:p w14:paraId="51104705"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6.77</w:t>
            </w:r>
          </w:p>
        </w:tc>
        <w:tc>
          <w:tcPr>
            <w:tcW w:w="371" w:type="pct"/>
            <w:tcBorders>
              <w:top w:val="nil"/>
              <w:left w:val="nil"/>
              <w:bottom w:val="single" w:sz="4" w:space="0" w:color="auto"/>
              <w:right w:val="single" w:sz="4" w:space="0" w:color="auto"/>
            </w:tcBorders>
            <w:shd w:val="clear" w:color="auto" w:fill="auto"/>
            <w:vAlign w:val="center"/>
          </w:tcPr>
          <w:p w14:paraId="788167A6"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8.60</w:t>
            </w:r>
          </w:p>
        </w:tc>
        <w:tc>
          <w:tcPr>
            <w:tcW w:w="352" w:type="pct"/>
            <w:gridSpan w:val="2"/>
            <w:tcBorders>
              <w:top w:val="nil"/>
              <w:left w:val="nil"/>
              <w:bottom w:val="single" w:sz="4" w:space="0" w:color="auto"/>
              <w:right w:val="single" w:sz="4" w:space="0" w:color="auto"/>
            </w:tcBorders>
            <w:shd w:val="clear" w:color="auto" w:fill="auto"/>
            <w:vAlign w:val="center"/>
          </w:tcPr>
          <w:p w14:paraId="17724D88"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2.00</w:t>
            </w:r>
          </w:p>
        </w:tc>
        <w:tc>
          <w:tcPr>
            <w:tcW w:w="394" w:type="pct"/>
            <w:tcBorders>
              <w:top w:val="nil"/>
              <w:left w:val="nil"/>
              <w:bottom w:val="single" w:sz="4" w:space="0" w:color="auto"/>
              <w:right w:val="single" w:sz="4" w:space="0" w:color="auto"/>
            </w:tcBorders>
            <w:shd w:val="clear" w:color="auto" w:fill="auto"/>
            <w:vAlign w:val="center"/>
          </w:tcPr>
          <w:p w14:paraId="1715288F"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2.09</w:t>
            </w:r>
          </w:p>
        </w:tc>
        <w:tc>
          <w:tcPr>
            <w:tcW w:w="362" w:type="pct"/>
            <w:gridSpan w:val="2"/>
            <w:tcBorders>
              <w:top w:val="nil"/>
              <w:left w:val="nil"/>
              <w:bottom w:val="single" w:sz="4" w:space="0" w:color="auto"/>
              <w:right w:val="single" w:sz="4" w:space="0" w:color="auto"/>
            </w:tcBorders>
            <w:shd w:val="clear" w:color="auto" w:fill="auto"/>
            <w:vAlign w:val="center"/>
          </w:tcPr>
          <w:p w14:paraId="21C1BABC"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10.57</w:t>
            </w:r>
          </w:p>
        </w:tc>
        <w:tc>
          <w:tcPr>
            <w:tcW w:w="333" w:type="pct"/>
            <w:tcBorders>
              <w:top w:val="nil"/>
              <w:left w:val="nil"/>
              <w:bottom w:val="single" w:sz="4" w:space="0" w:color="auto"/>
              <w:right w:val="single" w:sz="4" w:space="0" w:color="auto"/>
            </w:tcBorders>
            <w:shd w:val="clear" w:color="auto" w:fill="auto"/>
            <w:vAlign w:val="center"/>
          </w:tcPr>
          <w:p w14:paraId="20258E66"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11.24</w:t>
            </w:r>
          </w:p>
        </w:tc>
        <w:tc>
          <w:tcPr>
            <w:tcW w:w="430" w:type="pct"/>
            <w:tcBorders>
              <w:top w:val="nil"/>
              <w:left w:val="nil"/>
              <w:bottom w:val="single" w:sz="4" w:space="0" w:color="auto"/>
              <w:right w:val="single" w:sz="4" w:space="0" w:color="auto"/>
            </w:tcBorders>
            <w:shd w:val="clear" w:color="auto" w:fill="auto"/>
            <w:vAlign w:val="center"/>
          </w:tcPr>
          <w:p w14:paraId="5BD49933"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5.52</w:t>
            </w:r>
          </w:p>
        </w:tc>
        <w:tc>
          <w:tcPr>
            <w:tcW w:w="481" w:type="pct"/>
            <w:tcBorders>
              <w:top w:val="nil"/>
              <w:left w:val="nil"/>
              <w:bottom w:val="single" w:sz="4" w:space="0" w:color="auto"/>
              <w:right w:val="single" w:sz="4" w:space="0" w:color="auto"/>
            </w:tcBorders>
            <w:shd w:val="clear" w:color="auto" w:fill="auto"/>
            <w:vAlign w:val="center"/>
          </w:tcPr>
          <w:p w14:paraId="06061192"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0.13</w:t>
            </w:r>
          </w:p>
        </w:tc>
        <w:tc>
          <w:tcPr>
            <w:tcW w:w="401" w:type="pct"/>
            <w:gridSpan w:val="2"/>
            <w:tcBorders>
              <w:top w:val="nil"/>
              <w:left w:val="nil"/>
              <w:bottom w:val="single" w:sz="4" w:space="0" w:color="auto"/>
              <w:right w:val="single" w:sz="4" w:space="0" w:color="auto"/>
            </w:tcBorders>
            <w:shd w:val="clear" w:color="auto" w:fill="auto"/>
            <w:vAlign w:val="center"/>
          </w:tcPr>
          <w:p w14:paraId="31DCD1ED"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3.73</w:t>
            </w:r>
          </w:p>
        </w:tc>
      </w:tr>
      <w:tr w:rsidR="00BD3166" w14:paraId="047C2187" w14:textId="77777777">
        <w:trPr>
          <w:trHeight w:val="285"/>
          <w:jc w:val="center"/>
        </w:trPr>
        <w:tc>
          <w:tcPr>
            <w:tcW w:w="554" w:type="pct"/>
            <w:tcBorders>
              <w:top w:val="nil"/>
              <w:left w:val="single" w:sz="4" w:space="0" w:color="auto"/>
              <w:bottom w:val="single" w:sz="4" w:space="0" w:color="auto"/>
              <w:right w:val="single" w:sz="4" w:space="0" w:color="auto"/>
            </w:tcBorders>
            <w:shd w:val="clear" w:color="auto" w:fill="auto"/>
            <w:vAlign w:val="center"/>
          </w:tcPr>
          <w:p w14:paraId="42BF8792" w14:textId="77777777" w:rsidR="00BD3166" w:rsidRDefault="00C64679">
            <w:pPr>
              <w:widowControl/>
              <w:jc w:val="left"/>
              <w:textAlignment w:val="center"/>
              <w:rPr>
                <w:rFonts w:ascii="Arial Narrow" w:hAnsi="Arial Narrow" w:cs="宋体"/>
                <w:kern w:val="0"/>
                <w:sz w:val="18"/>
                <w:szCs w:val="18"/>
              </w:rPr>
            </w:pPr>
            <w:r>
              <w:rPr>
                <w:rFonts w:ascii="Arial Narrow" w:eastAsia="Arial Narrow" w:hAnsi="Arial Narrow" w:cs="Arial Narrow"/>
                <w:color w:val="000000"/>
                <w:kern w:val="0"/>
                <w:sz w:val="18"/>
                <w:szCs w:val="18"/>
                <w:lang w:bidi="ar"/>
              </w:rPr>
              <w:t>300458.SZ</w:t>
            </w:r>
          </w:p>
        </w:tc>
        <w:tc>
          <w:tcPr>
            <w:tcW w:w="554" w:type="pct"/>
            <w:tcBorders>
              <w:top w:val="nil"/>
              <w:left w:val="nil"/>
              <w:bottom w:val="single" w:sz="4" w:space="0" w:color="auto"/>
              <w:right w:val="single" w:sz="4" w:space="0" w:color="auto"/>
            </w:tcBorders>
            <w:shd w:val="clear" w:color="auto" w:fill="auto"/>
            <w:vAlign w:val="center"/>
          </w:tcPr>
          <w:p w14:paraId="48C0BF95" w14:textId="77777777" w:rsidR="00BD3166" w:rsidRDefault="00C64679">
            <w:pPr>
              <w:widowControl/>
              <w:jc w:val="left"/>
              <w:textAlignment w:val="center"/>
              <w:rPr>
                <w:rFonts w:ascii="Arial Narrow" w:hAnsi="Arial Narrow" w:cs="宋体"/>
                <w:kern w:val="0"/>
                <w:sz w:val="18"/>
                <w:szCs w:val="18"/>
              </w:rPr>
            </w:pPr>
            <w:r>
              <w:rPr>
                <w:rFonts w:ascii="宋体" w:eastAsia="宋体" w:hAnsi="宋体" w:cs="宋体" w:hint="eastAsia"/>
                <w:color w:val="000000"/>
                <w:kern w:val="0"/>
                <w:sz w:val="18"/>
                <w:szCs w:val="18"/>
                <w:lang w:bidi="ar"/>
              </w:rPr>
              <w:t>全志科技</w:t>
            </w:r>
          </w:p>
        </w:tc>
        <w:tc>
          <w:tcPr>
            <w:tcW w:w="365" w:type="pct"/>
            <w:tcBorders>
              <w:top w:val="nil"/>
              <w:left w:val="nil"/>
              <w:bottom w:val="single" w:sz="4" w:space="0" w:color="auto"/>
              <w:right w:val="single" w:sz="4" w:space="0" w:color="auto"/>
            </w:tcBorders>
            <w:shd w:val="clear" w:color="auto" w:fill="auto"/>
            <w:vAlign w:val="center"/>
          </w:tcPr>
          <w:p w14:paraId="2582A547"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8.42</w:t>
            </w:r>
          </w:p>
        </w:tc>
        <w:tc>
          <w:tcPr>
            <w:tcW w:w="397" w:type="pct"/>
            <w:tcBorders>
              <w:top w:val="nil"/>
              <w:left w:val="nil"/>
              <w:bottom w:val="single" w:sz="4" w:space="0" w:color="auto"/>
              <w:right w:val="single" w:sz="4" w:space="0" w:color="auto"/>
            </w:tcBorders>
            <w:shd w:val="clear" w:color="auto" w:fill="auto"/>
            <w:vAlign w:val="center"/>
          </w:tcPr>
          <w:p w14:paraId="200B48B8"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9.18</w:t>
            </w:r>
          </w:p>
        </w:tc>
        <w:tc>
          <w:tcPr>
            <w:tcW w:w="371" w:type="pct"/>
            <w:tcBorders>
              <w:top w:val="nil"/>
              <w:left w:val="nil"/>
              <w:bottom w:val="single" w:sz="4" w:space="0" w:color="auto"/>
              <w:right w:val="single" w:sz="4" w:space="0" w:color="auto"/>
            </w:tcBorders>
            <w:shd w:val="clear" w:color="auto" w:fill="auto"/>
            <w:vAlign w:val="center"/>
          </w:tcPr>
          <w:p w14:paraId="6BF18FF6"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10.39</w:t>
            </w:r>
          </w:p>
        </w:tc>
        <w:tc>
          <w:tcPr>
            <w:tcW w:w="352" w:type="pct"/>
            <w:gridSpan w:val="2"/>
            <w:tcBorders>
              <w:top w:val="nil"/>
              <w:left w:val="nil"/>
              <w:bottom w:val="single" w:sz="4" w:space="0" w:color="auto"/>
              <w:right w:val="single" w:sz="4" w:space="0" w:color="auto"/>
            </w:tcBorders>
            <w:shd w:val="clear" w:color="auto" w:fill="auto"/>
            <w:vAlign w:val="center"/>
          </w:tcPr>
          <w:p w14:paraId="2D2CB765"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3.31</w:t>
            </w:r>
          </w:p>
        </w:tc>
        <w:tc>
          <w:tcPr>
            <w:tcW w:w="394" w:type="pct"/>
            <w:tcBorders>
              <w:top w:val="nil"/>
              <w:left w:val="nil"/>
              <w:bottom w:val="single" w:sz="4" w:space="0" w:color="auto"/>
              <w:right w:val="single" w:sz="4" w:space="0" w:color="auto"/>
            </w:tcBorders>
            <w:shd w:val="clear" w:color="auto" w:fill="auto"/>
            <w:vAlign w:val="center"/>
          </w:tcPr>
          <w:p w14:paraId="27846E3E"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11.17</w:t>
            </w:r>
          </w:p>
        </w:tc>
        <w:tc>
          <w:tcPr>
            <w:tcW w:w="362" w:type="pct"/>
            <w:gridSpan w:val="2"/>
            <w:tcBorders>
              <w:top w:val="nil"/>
              <w:left w:val="nil"/>
              <w:bottom w:val="single" w:sz="4" w:space="0" w:color="auto"/>
              <w:right w:val="single" w:sz="4" w:space="0" w:color="auto"/>
            </w:tcBorders>
            <w:shd w:val="clear" w:color="auto" w:fill="auto"/>
            <w:vAlign w:val="center"/>
          </w:tcPr>
          <w:p w14:paraId="1E85FE1E"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10.44</w:t>
            </w:r>
          </w:p>
        </w:tc>
        <w:tc>
          <w:tcPr>
            <w:tcW w:w="333" w:type="pct"/>
            <w:tcBorders>
              <w:top w:val="nil"/>
              <w:left w:val="nil"/>
              <w:bottom w:val="single" w:sz="4" w:space="0" w:color="auto"/>
              <w:right w:val="single" w:sz="4" w:space="0" w:color="auto"/>
            </w:tcBorders>
            <w:shd w:val="clear" w:color="auto" w:fill="auto"/>
            <w:vAlign w:val="center"/>
          </w:tcPr>
          <w:p w14:paraId="15728437"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11.32</w:t>
            </w:r>
          </w:p>
        </w:tc>
        <w:tc>
          <w:tcPr>
            <w:tcW w:w="430" w:type="pct"/>
            <w:tcBorders>
              <w:top w:val="nil"/>
              <w:left w:val="nil"/>
              <w:bottom w:val="single" w:sz="4" w:space="0" w:color="auto"/>
              <w:right w:val="single" w:sz="4" w:space="0" w:color="auto"/>
            </w:tcBorders>
            <w:shd w:val="clear" w:color="auto" w:fill="auto"/>
            <w:vAlign w:val="center"/>
          </w:tcPr>
          <w:p w14:paraId="6546F81D"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7.21</w:t>
            </w:r>
          </w:p>
        </w:tc>
        <w:tc>
          <w:tcPr>
            <w:tcW w:w="481" w:type="pct"/>
            <w:tcBorders>
              <w:top w:val="nil"/>
              <w:left w:val="nil"/>
              <w:bottom w:val="single" w:sz="4" w:space="0" w:color="auto"/>
              <w:right w:val="single" w:sz="4" w:space="0" w:color="auto"/>
            </w:tcBorders>
            <w:shd w:val="clear" w:color="auto" w:fill="auto"/>
            <w:vAlign w:val="center"/>
          </w:tcPr>
          <w:p w14:paraId="6EA94AF9"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10.43</w:t>
            </w:r>
          </w:p>
        </w:tc>
        <w:tc>
          <w:tcPr>
            <w:tcW w:w="401" w:type="pct"/>
            <w:gridSpan w:val="2"/>
            <w:tcBorders>
              <w:top w:val="nil"/>
              <w:left w:val="nil"/>
              <w:bottom w:val="single" w:sz="4" w:space="0" w:color="auto"/>
              <w:right w:val="single" w:sz="4" w:space="0" w:color="auto"/>
            </w:tcBorders>
            <w:shd w:val="clear" w:color="auto" w:fill="auto"/>
            <w:vAlign w:val="center"/>
          </w:tcPr>
          <w:p w14:paraId="6FAE1582"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9.21</w:t>
            </w:r>
          </w:p>
        </w:tc>
      </w:tr>
      <w:tr w:rsidR="00BD3166" w14:paraId="54266506" w14:textId="77777777">
        <w:trPr>
          <w:trHeight w:val="285"/>
          <w:jc w:val="center"/>
        </w:trPr>
        <w:tc>
          <w:tcPr>
            <w:tcW w:w="554" w:type="pct"/>
            <w:tcBorders>
              <w:top w:val="nil"/>
              <w:left w:val="single" w:sz="4" w:space="0" w:color="auto"/>
              <w:bottom w:val="single" w:sz="4" w:space="0" w:color="auto"/>
              <w:right w:val="single" w:sz="4" w:space="0" w:color="auto"/>
            </w:tcBorders>
            <w:shd w:val="clear" w:color="auto" w:fill="auto"/>
            <w:vAlign w:val="center"/>
          </w:tcPr>
          <w:p w14:paraId="291EF0EA" w14:textId="77777777" w:rsidR="00BD3166" w:rsidRDefault="00C64679">
            <w:pPr>
              <w:widowControl/>
              <w:jc w:val="left"/>
              <w:textAlignment w:val="center"/>
              <w:rPr>
                <w:rFonts w:ascii="Arial Narrow" w:hAnsi="Arial Narrow" w:cs="宋体"/>
                <w:kern w:val="0"/>
                <w:sz w:val="18"/>
                <w:szCs w:val="18"/>
              </w:rPr>
            </w:pPr>
            <w:r>
              <w:rPr>
                <w:rFonts w:ascii="Arial Narrow" w:eastAsia="Arial Narrow" w:hAnsi="Arial Narrow" w:cs="Arial Narrow"/>
                <w:color w:val="000000"/>
                <w:kern w:val="0"/>
                <w:sz w:val="18"/>
                <w:szCs w:val="18"/>
                <w:lang w:bidi="ar"/>
              </w:rPr>
              <w:t>300327.SZ</w:t>
            </w:r>
          </w:p>
        </w:tc>
        <w:tc>
          <w:tcPr>
            <w:tcW w:w="554" w:type="pct"/>
            <w:tcBorders>
              <w:top w:val="nil"/>
              <w:left w:val="nil"/>
              <w:bottom w:val="single" w:sz="4" w:space="0" w:color="auto"/>
              <w:right w:val="single" w:sz="4" w:space="0" w:color="auto"/>
            </w:tcBorders>
            <w:shd w:val="clear" w:color="auto" w:fill="auto"/>
            <w:vAlign w:val="center"/>
          </w:tcPr>
          <w:p w14:paraId="230D15AE" w14:textId="77777777" w:rsidR="00BD3166" w:rsidRDefault="00C64679">
            <w:pPr>
              <w:widowControl/>
              <w:jc w:val="left"/>
              <w:textAlignment w:val="center"/>
              <w:rPr>
                <w:rFonts w:ascii="Arial Narrow" w:hAnsi="Arial Narrow" w:cs="宋体"/>
                <w:kern w:val="0"/>
                <w:sz w:val="18"/>
                <w:szCs w:val="18"/>
              </w:rPr>
            </w:pPr>
            <w:proofErr w:type="gramStart"/>
            <w:r>
              <w:rPr>
                <w:rFonts w:ascii="宋体" w:eastAsia="宋体" w:hAnsi="宋体" w:cs="宋体" w:hint="eastAsia"/>
                <w:color w:val="000000"/>
                <w:kern w:val="0"/>
                <w:sz w:val="18"/>
                <w:szCs w:val="18"/>
                <w:lang w:bidi="ar"/>
              </w:rPr>
              <w:t>中颖电子</w:t>
            </w:r>
            <w:proofErr w:type="gramEnd"/>
          </w:p>
        </w:tc>
        <w:tc>
          <w:tcPr>
            <w:tcW w:w="365" w:type="pct"/>
            <w:tcBorders>
              <w:top w:val="nil"/>
              <w:left w:val="nil"/>
              <w:bottom w:val="single" w:sz="4" w:space="0" w:color="auto"/>
              <w:right w:val="single" w:sz="4" w:space="0" w:color="auto"/>
            </w:tcBorders>
            <w:shd w:val="clear" w:color="auto" w:fill="auto"/>
            <w:vAlign w:val="center"/>
          </w:tcPr>
          <w:p w14:paraId="4805716D"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11.04</w:t>
            </w:r>
          </w:p>
        </w:tc>
        <w:tc>
          <w:tcPr>
            <w:tcW w:w="397" w:type="pct"/>
            <w:tcBorders>
              <w:top w:val="nil"/>
              <w:left w:val="nil"/>
              <w:bottom w:val="single" w:sz="4" w:space="0" w:color="auto"/>
              <w:right w:val="single" w:sz="4" w:space="0" w:color="auto"/>
            </w:tcBorders>
            <w:shd w:val="clear" w:color="auto" w:fill="auto"/>
            <w:vAlign w:val="center"/>
          </w:tcPr>
          <w:p w14:paraId="13DD4BCD"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11.21</w:t>
            </w:r>
          </w:p>
        </w:tc>
        <w:tc>
          <w:tcPr>
            <w:tcW w:w="371" w:type="pct"/>
            <w:tcBorders>
              <w:top w:val="nil"/>
              <w:left w:val="nil"/>
              <w:bottom w:val="single" w:sz="4" w:space="0" w:color="auto"/>
              <w:right w:val="single" w:sz="4" w:space="0" w:color="auto"/>
            </w:tcBorders>
            <w:shd w:val="clear" w:color="auto" w:fill="auto"/>
            <w:vAlign w:val="center"/>
          </w:tcPr>
          <w:p w14:paraId="2BB1ABD9"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11.64</w:t>
            </w:r>
          </w:p>
        </w:tc>
        <w:tc>
          <w:tcPr>
            <w:tcW w:w="352" w:type="pct"/>
            <w:gridSpan w:val="2"/>
            <w:tcBorders>
              <w:top w:val="nil"/>
              <w:left w:val="nil"/>
              <w:bottom w:val="single" w:sz="4" w:space="0" w:color="auto"/>
              <w:right w:val="single" w:sz="4" w:space="0" w:color="auto"/>
            </w:tcBorders>
            <w:shd w:val="clear" w:color="auto" w:fill="auto"/>
            <w:vAlign w:val="center"/>
          </w:tcPr>
          <w:p w14:paraId="5A1A7C65"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8.00</w:t>
            </w:r>
          </w:p>
        </w:tc>
        <w:tc>
          <w:tcPr>
            <w:tcW w:w="394" w:type="pct"/>
            <w:tcBorders>
              <w:top w:val="nil"/>
              <w:left w:val="nil"/>
              <w:bottom w:val="single" w:sz="4" w:space="0" w:color="auto"/>
              <w:right w:val="single" w:sz="4" w:space="0" w:color="auto"/>
            </w:tcBorders>
            <w:shd w:val="clear" w:color="auto" w:fill="auto"/>
            <w:vAlign w:val="center"/>
          </w:tcPr>
          <w:p w14:paraId="4523235B"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4.67</w:t>
            </w:r>
          </w:p>
        </w:tc>
        <w:tc>
          <w:tcPr>
            <w:tcW w:w="362" w:type="pct"/>
            <w:gridSpan w:val="2"/>
            <w:tcBorders>
              <w:top w:val="nil"/>
              <w:left w:val="nil"/>
              <w:bottom w:val="single" w:sz="4" w:space="0" w:color="auto"/>
              <w:right w:val="single" w:sz="4" w:space="0" w:color="auto"/>
            </w:tcBorders>
            <w:shd w:val="clear" w:color="auto" w:fill="auto"/>
            <w:vAlign w:val="center"/>
          </w:tcPr>
          <w:p w14:paraId="70102CC7"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10.31</w:t>
            </w:r>
          </w:p>
        </w:tc>
        <w:tc>
          <w:tcPr>
            <w:tcW w:w="333" w:type="pct"/>
            <w:tcBorders>
              <w:top w:val="nil"/>
              <w:left w:val="nil"/>
              <w:bottom w:val="single" w:sz="4" w:space="0" w:color="auto"/>
              <w:right w:val="single" w:sz="4" w:space="0" w:color="auto"/>
            </w:tcBorders>
            <w:shd w:val="clear" w:color="auto" w:fill="auto"/>
            <w:vAlign w:val="center"/>
          </w:tcPr>
          <w:p w14:paraId="3792BC83"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11.22</w:t>
            </w:r>
          </w:p>
        </w:tc>
        <w:tc>
          <w:tcPr>
            <w:tcW w:w="430" w:type="pct"/>
            <w:tcBorders>
              <w:top w:val="nil"/>
              <w:left w:val="nil"/>
              <w:bottom w:val="single" w:sz="4" w:space="0" w:color="auto"/>
              <w:right w:val="single" w:sz="4" w:space="0" w:color="auto"/>
            </w:tcBorders>
            <w:shd w:val="clear" w:color="auto" w:fill="auto"/>
            <w:vAlign w:val="center"/>
          </w:tcPr>
          <w:p w14:paraId="1356CEED"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10.50</w:t>
            </w:r>
          </w:p>
        </w:tc>
        <w:tc>
          <w:tcPr>
            <w:tcW w:w="481" w:type="pct"/>
            <w:tcBorders>
              <w:top w:val="nil"/>
              <w:left w:val="nil"/>
              <w:bottom w:val="single" w:sz="4" w:space="0" w:color="auto"/>
              <w:right w:val="single" w:sz="4" w:space="0" w:color="auto"/>
            </w:tcBorders>
            <w:shd w:val="clear" w:color="auto" w:fill="auto"/>
            <w:vAlign w:val="center"/>
          </w:tcPr>
          <w:p w14:paraId="044D0BB4"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10.04</w:t>
            </w:r>
          </w:p>
        </w:tc>
        <w:tc>
          <w:tcPr>
            <w:tcW w:w="401" w:type="pct"/>
            <w:gridSpan w:val="2"/>
            <w:tcBorders>
              <w:top w:val="nil"/>
              <w:left w:val="nil"/>
              <w:bottom w:val="single" w:sz="4" w:space="0" w:color="auto"/>
              <w:right w:val="single" w:sz="4" w:space="0" w:color="auto"/>
            </w:tcBorders>
            <w:shd w:val="clear" w:color="auto" w:fill="auto"/>
            <w:vAlign w:val="center"/>
          </w:tcPr>
          <w:p w14:paraId="1AC6B54F"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10.20</w:t>
            </w:r>
          </w:p>
        </w:tc>
      </w:tr>
      <w:tr w:rsidR="00BD3166" w14:paraId="37101177" w14:textId="77777777">
        <w:trPr>
          <w:trHeight w:val="285"/>
          <w:jc w:val="center"/>
        </w:trPr>
        <w:tc>
          <w:tcPr>
            <w:tcW w:w="554" w:type="pct"/>
            <w:tcBorders>
              <w:top w:val="nil"/>
              <w:left w:val="single" w:sz="4" w:space="0" w:color="auto"/>
              <w:bottom w:val="single" w:sz="4" w:space="0" w:color="auto"/>
              <w:right w:val="single" w:sz="4" w:space="0" w:color="auto"/>
            </w:tcBorders>
            <w:shd w:val="clear" w:color="auto" w:fill="auto"/>
            <w:vAlign w:val="center"/>
          </w:tcPr>
          <w:p w14:paraId="5FFE8267" w14:textId="77777777" w:rsidR="00BD3166" w:rsidRDefault="00C64679">
            <w:pPr>
              <w:widowControl/>
              <w:jc w:val="left"/>
              <w:textAlignment w:val="center"/>
              <w:rPr>
                <w:rFonts w:ascii="Arial Narrow" w:hAnsi="Arial Narrow" w:cs="宋体"/>
                <w:kern w:val="0"/>
                <w:sz w:val="18"/>
                <w:szCs w:val="18"/>
              </w:rPr>
            </w:pPr>
            <w:r>
              <w:rPr>
                <w:rFonts w:ascii="Arial Narrow" w:eastAsia="Arial Narrow" w:hAnsi="Arial Narrow" w:cs="Arial Narrow"/>
                <w:color w:val="000000"/>
                <w:kern w:val="0"/>
                <w:sz w:val="18"/>
                <w:szCs w:val="18"/>
                <w:lang w:bidi="ar"/>
              </w:rPr>
              <w:lastRenderedPageBreak/>
              <w:t>603160.SH</w:t>
            </w:r>
          </w:p>
        </w:tc>
        <w:tc>
          <w:tcPr>
            <w:tcW w:w="554" w:type="pct"/>
            <w:tcBorders>
              <w:top w:val="nil"/>
              <w:left w:val="nil"/>
              <w:bottom w:val="single" w:sz="4" w:space="0" w:color="auto"/>
              <w:right w:val="single" w:sz="4" w:space="0" w:color="auto"/>
            </w:tcBorders>
            <w:shd w:val="clear" w:color="auto" w:fill="auto"/>
            <w:vAlign w:val="center"/>
          </w:tcPr>
          <w:p w14:paraId="41DD807C" w14:textId="77777777" w:rsidR="00BD3166" w:rsidRDefault="00C64679">
            <w:pPr>
              <w:widowControl/>
              <w:jc w:val="left"/>
              <w:textAlignment w:val="center"/>
              <w:rPr>
                <w:rFonts w:ascii="Arial Narrow" w:hAnsi="Arial Narrow" w:cs="宋体"/>
                <w:kern w:val="0"/>
                <w:sz w:val="18"/>
                <w:szCs w:val="18"/>
              </w:rPr>
            </w:pPr>
            <w:proofErr w:type="gramStart"/>
            <w:r>
              <w:rPr>
                <w:rFonts w:ascii="宋体" w:eastAsia="宋体" w:hAnsi="宋体" w:cs="宋体" w:hint="eastAsia"/>
                <w:color w:val="000000"/>
                <w:kern w:val="0"/>
                <w:sz w:val="18"/>
                <w:szCs w:val="18"/>
                <w:lang w:bidi="ar"/>
              </w:rPr>
              <w:t>汇顶科技</w:t>
            </w:r>
            <w:proofErr w:type="gramEnd"/>
          </w:p>
        </w:tc>
        <w:tc>
          <w:tcPr>
            <w:tcW w:w="365" w:type="pct"/>
            <w:tcBorders>
              <w:top w:val="nil"/>
              <w:left w:val="nil"/>
              <w:bottom w:val="single" w:sz="4" w:space="0" w:color="auto"/>
              <w:right w:val="single" w:sz="4" w:space="0" w:color="auto"/>
            </w:tcBorders>
            <w:shd w:val="clear" w:color="auto" w:fill="auto"/>
            <w:vAlign w:val="center"/>
          </w:tcPr>
          <w:p w14:paraId="6996F16E"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11.18</w:t>
            </w:r>
          </w:p>
        </w:tc>
        <w:tc>
          <w:tcPr>
            <w:tcW w:w="397" w:type="pct"/>
            <w:tcBorders>
              <w:top w:val="nil"/>
              <w:left w:val="nil"/>
              <w:bottom w:val="single" w:sz="4" w:space="0" w:color="auto"/>
              <w:right w:val="single" w:sz="4" w:space="0" w:color="auto"/>
            </w:tcBorders>
            <w:shd w:val="clear" w:color="auto" w:fill="auto"/>
            <w:vAlign w:val="center"/>
          </w:tcPr>
          <w:p w14:paraId="5EB907BD"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11.18</w:t>
            </w:r>
          </w:p>
        </w:tc>
        <w:tc>
          <w:tcPr>
            <w:tcW w:w="371" w:type="pct"/>
            <w:tcBorders>
              <w:top w:val="nil"/>
              <w:left w:val="nil"/>
              <w:bottom w:val="single" w:sz="4" w:space="0" w:color="auto"/>
              <w:right w:val="single" w:sz="4" w:space="0" w:color="auto"/>
            </w:tcBorders>
            <w:shd w:val="clear" w:color="auto" w:fill="auto"/>
            <w:vAlign w:val="center"/>
          </w:tcPr>
          <w:p w14:paraId="7B6AC462"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11.97</w:t>
            </w:r>
          </w:p>
        </w:tc>
        <w:tc>
          <w:tcPr>
            <w:tcW w:w="352" w:type="pct"/>
            <w:gridSpan w:val="2"/>
            <w:tcBorders>
              <w:top w:val="nil"/>
              <w:left w:val="nil"/>
              <w:bottom w:val="single" w:sz="4" w:space="0" w:color="auto"/>
              <w:right w:val="single" w:sz="4" w:space="0" w:color="auto"/>
            </w:tcBorders>
            <w:shd w:val="clear" w:color="auto" w:fill="auto"/>
            <w:vAlign w:val="center"/>
          </w:tcPr>
          <w:p w14:paraId="49FCE4ED"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7.08</w:t>
            </w:r>
          </w:p>
        </w:tc>
        <w:tc>
          <w:tcPr>
            <w:tcW w:w="394" w:type="pct"/>
            <w:tcBorders>
              <w:top w:val="nil"/>
              <w:left w:val="nil"/>
              <w:bottom w:val="single" w:sz="4" w:space="0" w:color="auto"/>
              <w:right w:val="single" w:sz="4" w:space="0" w:color="auto"/>
            </w:tcBorders>
            <w:shd w:val="clear" w:color="auto" w:fill="auto"/>
            <w:vAlign w:val="center"/>
          </w:tcPr>
          <w:p w14:paraId="05E745B9"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8.35</w:t>
            </w:r>
          </w:p>
        </w:tc>
        <w:tc>
          <w:tcPr>
            <w:tcW w:w="362" w:type="pct"/>
            <w:gridSpan w:val="2"/>
            <w:tcBorders>
              <w:top w:val="nil"/>
              <w:left w:val="nil"/>
              <w:bottom w:val="single" w:sz="4" w:space="0" w:color="auto"/>
              <w:right w:val="single" w:sz="4" w:space="0" w:color="auto"/>
            </w:tcBorders>
            <w:shd w:val="clear" w:color="auto" w:fill="auto"/>
            <w:vAlign w:val="center"/>
          </w:tcPr>
          <w:p w14:paraId="146A73B8"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10.30</w:t>
            </w:r>
          </w:p>
        </w:tc>
        <w:tc>
          <w:tcPr>
            <w:tcW w:w="333" w:type="pct"/>
            <w:tcBorders>
              <w:top w:val="nil"/>
              <w:left w:val="nil"/>
              <w:bottom w:val="single" w:sz="4" w:space="0" w:color="auto"/>
              <w:right w:val="single" w:sz="4" w:space="0" w:color="auto"/>
            </w:tcBorders>
            <w:shd w:val="clear" w:color="auto" w:fill="auto"/>
            <w:vAlign w:val="center"/>
          </w:tcPr>
          <w:p w14:paraId="52E62572"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11.02</w:t>
            </w:r>
          </w:p>
        </w:tc>
        <w:tc>
          <w:tcPr>
            <w:tcW w:w="430" w:type="pct"/>
            <w:tcBorders>
              <w:top w:val="nil"/>
              <w:left w:val="nil"/>
              <w:bottom w:val="single" w:sz="4" w:space="0" w:color="auto"/>
              <w:right w:val="single" w:sz="4" w:space="0" w:color="auto"/>
            </w:tcBorders>
            <w:shd w:val="clear" w:color="auto" w:fill="auto"/>
            <w:vAlign w:val="center"/>
          </w:tcPr>
          <w:p w14:paraId="62376AD1"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7.54</w:t>
            </w:r>
          </w:p>
        </w:tc>
        <w:tc>
          <w:tcPr>
            <w:tcW w:w="481" w:type="pct"/>
            <w:tcBorders>
              <w:top w:val="nil"/>
              <w:left w:val="nil"/>
              <w:bottom w:val="single" w:sz="4" w:space="0" w:color="auto"/>
              <w:right w:val="single" w:sz="4" w:space="0" w:color="auto"/>
            </w:tcBorders>
            <w:shd w:val="clear" w:color="auto" w:fill="auto"/>
            <w:vAlign w:val="center"/>
          </w:tcPr>
          <w:p w14:paraId="0309BD0E"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0.19</w:t>
            </w:r>
          </w:p>
        </w:tc>
        <w:tc>
          <w:tcPr>
            <w:tcW w:w="401" w:type="pct"/>
            <w:gridSpan w:val="2"/>
            <w:tcBorders>
              <w:top w:val="nil"/>
              <w:left w:val="nil"/>
              <w:bottom w:val="single" w:sz="4" w:space="0" w:color="auto"/>
              <w:right w:val="single" w:sz="4" w:space="0" w:color="auto"/>
            </w:tcBorders>
            <w:shd w:val="clear" w:color="auto" w:fill="auto"/>
            <w:vAlign w:val="center"/>
          </w:tcPr>
          <w:p w14:paraId="27A66F7F"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11.65</w:t>
            </w:r>
          </w:p>
        </w:tc>
      </w:tr>
    </w:tbl>
    <w:p w14:paraId="7E7AC0CB" w14:textId="77777777" w:rsidR="00BD3166" w:rsidRDefault="00BD3166">
      <w:pPr>
        <w:pStyle w:val="zw"/>
        <w:snapToGrid w:val="0"/>
        <w:rPr>
          <w:rFonts w:ascii="宋体" w:eastAsia="宋体" w:hAnsi="宋体" w:cs="Arial Narrow"/>
        </w:rPr>
      </w:pPr>
    </w:p>
    <w:p w14:paraId="46431F49" w14:textId="77777777" w:rsidR="00BD3166" w:rsidRDefault="00C64679">
      <w:pPr>
        <w:pStyle w:val="zw"/>
        <w:snapToGrid w:val="0"/>
        <w:rPr>
          <w:rFonts w:eastAsia="宋体" w:cs="Arial Narrow"/>
        </w:rPr>
      </w:pPr>
      <w:r>
        <w:rPr>
          <w:rFonts w:ascii="宋体" w:eastAsia="宋体" w:hAnsi="宋体" w:cs="Arial Narrow" w:hint="eastAsia"/>
        </w:rPr>
        <w:t>4、</w:t>
      </w:r>
      <w:r>
        <w:rPr>
          <w:rFonts w:eastAsia="宋体" w:cs="Arial Narrow"/>
        </w:rPr>
        <w:t>确定总调整系数如下</w:t>
      </w:r>
      <w:r>
        <w:rPr>
          <w:rFonts w:eastAsia="宋体" w:cs="Arial Narrow" w:hint="eastAsia"/>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613"/>
        <w:gridCol w:w="2634"/>
        <w:gridCol w:w="1252"/>
        <w:gridCol w:w="1256"/>
      </w:tblGrid>
      <w:tr w:rsidR="00BD3166" w14:paraId="65706EAF" w14:textId="77777777">
        <w:trPr>
          <w:trHeight w:val="302"/>
          <w:tblHeader/>
          <w:jc w:val="center"/>
        </w:trPr>
        <w:tc>
          <w:tcPr>
            <w:tcW w:w="1034" w:type="pct"/>
            <w:shd w:val="clear" w:color="auto" w:fill="auto"/>
            <w:noWrap/>
            <w:vAlign w:val="center"/>
          </w:tcPr>
          <w:p w14:paraId="181410F5" w14:textId="77777777" w:rsidR="00BD3166" w:rsidRDefault="00C64679">
            <w:pPr>
              <w:widowControl/>
              <w:jc w:val="center"/>
              <w:rPr>
                <w:rFonts w:ascii="Times New Roman" w:eastAsia="等线" w:hAnsi="Times New Roman" w:cs="Times New Roman"/>
                <w:b/>
                <w:bCs/>
                <w:sz w:val="18"/>
                <w:szCs w:val="18"/>
              </w:rPr>
            </w:pPr>
            <w:r>
              <w:rPr>
                <w:rFonts w:ascii="Times New Roman" w:eastAsia="等线" w:hAnsi="Times New Roman" w:cs="Times New Roman" w:hint="eastAsia"/>
                <w:b/>
                <w:bCs/>
                <w:sz w:val="18"/>
                <w:szCs w:val="18"/>
              </w:rPr>
              <w:t>序号</w:t>
            </w:r>
          </w:p>
        </w:tc>
        <w:tc>
          <w:tcPr>
            <w:tcW w:w="946" w:type="pct"/>
            <w:shd w:val="clear" w:color="auto" w:fill="auto"/>
            <w:noWrap/>
            <w:vAlign w:val="center"/>
          </w:tcPr>
          <w:p w14:paraId="54DB4DE3" w14:textId="77777777" w:rsidR="00BD3166" w:rsidRDefault="00C64679">
            <w:pPr>
              <w:widowControl/>
              <w:jc w:val="center"/>
              <w:rPr>
                <w:rFonts w:ascii="Times New Roman" w:eastAsia="等线" w:hAnsi="Times New Roman" w:cs="Times New Roman"/>
                <w:b/>
                <w:bCs/>
                <w:sz w:val="18"/>
                <w:szCs w:val="18"/>
              </w:rPr>
            </w:pPr>
            <w:r>
              <w:rPr>
                <w:rFonts w:ascii="Times New Roman" w:eastAsia="等线" w:hAnsi="Times New Roman" w:cs="Times New Roman" w:hint="eastAsia"/>
                <w:b/>
                <w:bCs/>
                <w:sz w:val="18"/>
                <w:szCs w:val="18"/>
              </w:rPr>
              <w:t>证券代码</w:t>
            </w:r>
          </w:p>
        </w:tc>
        <w:tc>
          <w:tcPr>
            <w:tcW w:w="1545" w:type="pct"/>
            <w:shd w:val="clear" w:color="auto" w:fill="auto"/>
            <w:noWrap/>
            <w:vAlign w:val="center"/>
          </w:tcPr>
          <w:p w14:paraId="7C47D0DB" w14:textId="77777777" w:rsidR="00BD3166" w:rsidRDefault="00C64679">
            <w:pPr>
              <w:widowControl/>
              <w:jc w:val="center"/>
              <w:rPr>
                <w:rFonts w:ascii="Times New Roman" w:eastAsia="等线" w:hAnsi="Times New Roman" w:cs="Times New Roman"/>
                <w:b/>
                <w:bCs/>
                <w:sz w:val="18"/>
                <w:szCs w:val="18"/>
              </w:rPr>
            </w:pPr>
            <w:r>
              <w:rPr>
                <w:rFonts w:ascii="Times New Roman" w:eastAsia="等线" w:hAnsi="Times New Roman" w:cs="Times New Roman" w:hint="eastAsia"/>
                <w:b/>
                <w:bCs/>
                <w:sz w:val="18"/>
                <w:szCs w:val="18"/>
              </w:rPr>
              <w:t>公司名称</w:t>
            </w:r>
          </w:p>
        </w:tc>
        <w:tc>
          <w:tcPr>
            <w:tcW w:w="735" w:type="pct"/>
            <w:shd w:val="clear" w:color="auto" w:fill="auto"/>
            <w:vAlign w:val="center"/>
          </w:tcPr>
          <w:p w14:paraId="6A246821" w14:textId="77777777" w:rsidR="00BD3166" w:rsidRDefault="00C64679">
            <w:pPr>
              <w:widowControl/>
              <w:jc w:val="center"/>
              <w:rPr>
                <w:rFonts w:ascii="Times New Roman" w:eastAsia="等线" w:hAnsi="Times New Roman" w:cs="Times New Roman"/>
                <w:b/>
                <w:bCs/>
                <w:sz w:val="18"/>
                <w:szCs w:val="18"/>
              </w:rPr>
            </w:pPr>
            <w:r>
              <w:rPr>
                <w:rFonts w:ascii="Times New Roman" w:eastAsia="等线" w:hAnsi="Times New Roman" w:cs="Times New Roman" w:hint="eastAsia"/>
                <w:b/>
                <w:bCs/>
                <w:sz w:val="18"/>
                <w:szCs w:val="18"/>
              </w:rPr>
              <w:t>总得分</w:t>
            </w:r>
          </w:p>
        </w:tc>
        <w:tc>
          <w:tcPr>
            <w:tcW w:w="737" w:type="pct"/>
            <w:shd w:val="clear" w:color="auto" w:fill="auto"/>
            <w:vAlign w:val="center"/>
          </w:tcPr>
          <w:p w14:paraId="11BB9C86" w14:textId="77777777" w:rsidR="00BD3166" w:rsidRDefault="00C64679">
            <w:pPr>
              <w:widowControl/>
              <w:jc w:val="center"/>
              <w:rPr>
                <w:rFonts w:ascii="Times New Roman" w:eastAsia="等线" w:hAnsi="Times New Roman" w:cs="Times New Roman"/>
                <w:b/>
                <w:bCs/>
                <w:sz w:val="18"/>
                <w:szCs w:val="18"/>
              </w:rPr>
            </w:pPr>
            <w:r>
              <w:rPr>
                <w:rFonts w:ascii="Times New Roman" w:eastAsia="等线" w:hAnsi="Times New Roman" w:cs="Times New Roman" w:hint="eastAsia"/>
                <w:b/>
                <w:bCs/>
                <w:sz w:val="18"/>
                <w:szCs w:val="18"/>
              </w:rPr>
              <w:t>总调整系数</w:t>
            </w:r>
          </w:p>
        </w:tc>
      </w:tr>
      <w:tr w:rsidR="00BD3166" w14:paraId="13C3E118" w14:textId="77777777">
        <w:trPr>
          <w:trHeight w:val="280"/>
          <w:jc w:val="center"/>
        </w:trPr>
        <w:tc>
          <w:tcPr>
            <w:tcW w:w="1034" w:type="pct"/>
            <w:shd w:val="clear" w:color="auto" w:fill="auto"/>
            <w:noWrap/>
            <w:vAlign w:val="center"/>
          </w:tcPr>
          <w:p w14:paraId="25531DA5" w14:textId="77777777" w:rsidR="00BD3166" w:rsidRDefault="00C64679">
            <w:pPr>
              <w:widowControl/>
              <w:jc w:val="center"/>
              <w:rPr>
                <w:rFonts w:ascii="Times New Roman" w:eastAsia="等线" w:hAnsi="Times New Roman" w:cs="Times New Roman"/>
                <w:sz w:val="18"/>
                <w:szCs w:val="18"/>
              </w:rPr>
            </w:pPr>
            <w:r>
              <w:rPr>
                <w:rFonts w:ascii="Times New Roman" w:eastAsia="等线" w:hAnsi="Times New Roman" w:cs="Times New Roman"/>
                <w:sz w:val="18"/>
                <w:szCs w:val="18"/>
              </w:rPr>
              <w:t>1</w:t>
            </w:r>
          </w:p>
        </w:tc>
        <w:tc>
          <w:tcPr>
            <w:tcW w:w="946" w:type="pct"/>
            <w:shd w:val="clear" w:color="auto" w:fill="auto"/>
            <w:noWrap/>
            <w:vAlign w:val="center"/>
          </w:tcPr>
          <w:p w14:paraId="00A51644" w14:textId="77777777" w:rsidR="00BD3166" w:rsidRDefault="00C6467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1545" w:type="pct"/>
            <w:shd w:val="clear" w:color="auto" w:fill="auto"/>
            <w:vAlign w:val="center"/>
          </w:tcPr>
          <w:p w14:paraId="5853E194" w14:textId="77777777" w:rsidR="00BD3166" w:rsidRDefault="00C64679">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大唐微电子</w:t>
            </w:r>
          </w:p>
        </w:tc>
        <w:tc>
          <w:tcPr>
            <w:tcW w:w="735" w:type="pct"/>
            <w:shd w:val="clear" w:color="auto" w:fill="auto"/>
            <w:vAlign w:val="center"/>
          </w:tcPr>
          <w:p w14:paraId="2501D16C"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57.51</w:t>
            </w:r>
          </w:p>
        </w:tc>
        <w:tc>
          <w:tcPr>
            <w:tcW w:w="737" w:type="pct"/>
            <w:shd w:val="clear" w:color="auto" w:fill="auto"/>
            <w:vAlign w:val="center"/>
          </w:tcPr>
          <w:p w14:paraId="51CBD554" w14:textId="77777777" w:rsidR="00BD3166" w:rsidRDefault="00BD3166">
            <w:pPr>
              <w:jc w:val="right"/>
              <w:rPr>
                <w:rFonts w:ascii="Times New Roman" w:eastAsia="等线" w:hAnsi="Times New Roman" w:cs="Times New Roman"/>
                <w:sz w:val="18"/>
                <w:szCs w:val="18"/>
              </w:rPr>
            </w:pPr>
          </w:p>
        </w:tc>
      </w:tr>
      <w:tr w:rsidR="00BD3166" w14:paraId="73590A91" w14:textId="77777777">
        <w:trPr>
          <w:trHeight w:val="280"/>
          <w:jc w:val="center"/>
        </w:trPr>
        <w:tc>
          <w:tcPr>
            <w:tcW w:w="1034" w:type="pct"/>
            <w:shd w:val="clear" w:color="auto" w:fill="auto"/>
            <w:noWrap/>
            <w:vAlign w:val="center"/>
          </w:tcPr>
          <w:p w14:paraId="5C9F0692" w14:textId="77777777" w:rsidR="00BD3166" w:rsidRDefault="00C64679">
            <w:pPr>
              <w:widowControl/>
              <w:jc w:val="center"/>
              <w:rPr>
                <w:rFonts w:ascii="Times New Roman" w:eastAsia="等线" w:hAnsi="Times New Roman" w:cs="Times New Roman"/>
                <w:sz w:val="18"/>
                <w:szCs w:val="18"/>
              </w:rPr>
            </w:pPr>
            <w:r>
              <w:rPr>
                <w:rFonts w:ascii="Times New Roman" w:eastAsia="等线" w:hAnsi="Times New Roman" w:cs="Times New Roman"/>
                <w:sz w:val="18"/>
                <w:szCs w:val="18"/>
              </w:rPr>
              <w:t>2</w:t>
            </w:r>
          </w:p>
        </w:tc>
        <w:tc>
          <w:tcPr>
            <w:tcW w:w="946" w:type="pct"/>
            <w:shd w:val="clear" w:color="auto" w:fill="auto"/>
            <w:noWrap/>
            <w:vAlign w:val="center"/>
          </w:tcPr>
          <w:p w14:paraId="5BCBF95C" w14:textId="77777777" w:rsidR="00BD3166" w:rsidRDefault="00C64679">
            <w:pPr>
              <w:widowControl/>
              <w:jc w:val="center"/>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300689.SZ</w:t>
            </w:r>
          </w:p>
        </w:tc>
        <w:tc>
          <w:tcPr>
            <w:tcW w:w="1545" w:type="pct"/>
            <w:shd w:val="clear" w:color="auto" w:fill="auto"/>
            <w:noWrap/>
            <w:vAlign w:val="center"/>
          </w:tcPr>
          <w:p w14:paraId="3B2A34F6" w14:textId="77777777" w:rsidR="00BD3166" w:rsidRDefault="00C64679">
            <w:pPr>
              <w:widowControl/>
              <w:jc w:val="center"/>
              <w:textAlignment w:val="center"/>
              <w:rPr>
                <w:rFonts w:ascii="Times New Roman" w:hAnsi="Times New Roman" w:cs="Times New Roman"/>
                <w:kern w:val="0"/>
                <w:sz w:val="18"/>
                <w:szCs w:val="18"/>
              </w:rPr>
            </w:pPr>
            <w:proofErr w:type="gramStart"/>
            <w:r>
              <w:rPr>
                <w:rFonts w:ascii="Times New Roman" w:eastAsia="宋体" w:hAnsi="Times New Roman" w:cs="Times New Roman" w:hint="eastAsia"/>
                <w:color w:val="000000"/>
                <w:kern w:val="0"/>
                <w:sz w:val="18"/>
                <w:szCs w:val="18"/>
                <w:lang w:bidi="ar"/>
              </w:rPr>
              <w:t>澄天伟业</w:t>
            </w:r>
            <w:proofErr w:type="gramEnd"/>
          </w:p>
        </w:tc>
        <w:tc>
          <w:tcPr>
            <w:tcW w:w="735" w:type="pct"/>
            <w:shd w:val="clear" w:color="auto" w:fill="auto"/>
            <w:vAlign w:val="center"/>
          </w:tcPr>
          <w:p w14:paraId="5D3E827A"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56.54</w:t>
            </w:r>
          </w:p>
        </w:tc>
        <w:tc>
          <w:tcPr>
            <w:tcW w:w="737" w:type="pct"/>
            <w:shd w:val="clear" w:color="auto" w:fill="auto"/>
            <w:vAlign w:val="center"/>
          </w:tcPr>
          <w:p w14:paraId="42207C9A" w14:textId="77777777" w:rsidR="00BD3166" w:rsidRDefault="00C64679">
            <w:pPr>
              <w:widowControl/>
              <w:jc w:val="right"/>
              <w:textAlignment w:val="center"/>
              <w:rPr>
                <w:rFonts w:ascii="Times New Roman" w:eastAsia="宋体" w:hAnsi="Times New Roman" w:cs="Times New Roman"/>
                <w:sz w:val="18"/>
                <w:szCs w:val="18"/>
                <w:vertAlign w:val="superscript"/>
              </w:rPr>
            </w:pPr>
            <w:r>
              <w:rPr>
                <w:rFonts w:ascii="Times New Roman" w:eastAsia="Arial Narrow" w:hAnsi="Times New Roman" w:cs="Times New Roman"/>
                <w:color w:val="000000"/>
                <w:kern w:val="0"/>
                <w:sz w:val="18"/>
                <w:szCs w:val="18"/>
                <w:lang w:bidi="ar"/>
              </w:rPr>
              <w:t>1.0172</w:t>
            </w:r>
            <w:r>
              <w:rPr>
                <w:rFonts w:ascii="Times New Roman" w:eastAsia="宋体" w:hAnsi="Times New Roman" w:cs="Times New Roman" w:hint="eastAsia"/>
                <w:color w:val="000000"/>
                <w:kern w:val="0"/>
                <w:sz w:val="18"/>
                <w:szCs w:val="18"/>
                <w:vertAlign w:val="superscript"/>
                <w:lang w:bidi="ar"/>
              </w:rPr>
              <w:t>1</w:t>
            </w:r>
          </w:p>
        </w:tc>
      </w:tr>
      <w:tr w:rsidR="00BD3166" w14:paraId="6B4D8E35" w14:textId="77777777">
        <w:trPr>
          <w:trHeight w:val="280"/>
          <w:jc w:val="center"/>
        </w:trPr>
        <w:tc>
          <w:tcPr>
            <w:tcW w:w="1034" w:type="pct"/>
            <w:shd w:val="clear" w:color="auto" w:fill="auto"/>
            <w:noWrap/>
            <w:vAlign w:val="center"/>
          </w:tcPr>
          <w:p w14:paraId="39F748B9" w14:textId="77777777" w:rsidR="00BD3166" w:rsidRDefault="00C64679">
            <w:pPr>
              <w:widowControl/>
              <w:jc w:val="center"/>
              <w:rPr>
                <w:rFonts w:ascii="Times New Roman" w:eastAsia="等线" w:hAnsi="Times New Roman" w:cs="Times New Roman"/>
                <w:sz w:val="18"/>
                <w:szCs w:val="18"/>
              </w:rPr>
            </w:pPr>
            <w:r>
              <w:rPr>
                <w:rFonts w:ascii="Times New Roman" w:eastAsia="等线" w:hAnsi="Times New Roman" w:cs="Times New Roman"/>
                <w:sz w:val="18"/>
                <w:szCs w:val="18"/>
              </w:rPr>
              <w:t>3</w:t>
            </w:r>
          </w:p>
        </w:tc>
        <w:tc>
          <w:tcPr>
            <w:tcW w:w="946" w:type="pct"/>
            <w:shd w:val="clear" w:color="auto" w:fill="auto"/>
            <w:noWrap/>
            <w:vAlign w:val="center"/>
          </w:tcPr>
          <w:p w14:paraId="5EADB859" w14:textId="77777777" w:rsidR="00BD3166" w:rsidRDefault="00C64679">
            <w:pPr>
              <w:widowControl/>
              <w:jc w:val="center"/>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300458.SZ</w:t>
            </w:r>
          </w:p>
        </w:tc>
        <w:tc>
          <w:tcPr>
            <w:tcW w:w="1545" w:type="pct"/>
            <w:shd w:val="clear" w:color="auto" w:fill="auto"/>
            <w:noWrap/>
            <w:vAlign w:val="center"/>
          </w:tcPr>
          <w:p w14:paraId="498611B0" w14:textId="77777777" w:rsidR="00BD3166" w:rsidRDefault="00C64679">
            <w:pPr>
              <w:widowControl/>
              <w:jc w:val="center"/>
              <w:textAlignment w:val="center"/>
              <w:rPr>
                <w:rFonts w:ascii="Times New Roman" w:hAnsi="Times New Roman" w:cs="Times New Roman"/>
                <w:kern w:val="0"/>
                <w:sz w:val="18"/>
                <w:szCs w:val="18"/>
              </w:rPr>
            </w:pPr>
            <w:r>
              <w:rPr>
                <w:rFonts w:ascii="Times New Roman" w:eastAsia="宋体" w:hAnsi="Times New Roman" w:cs="Times New Roman" w:hint="eastAsia"/>
                <w:color w:val="000000"/>
                <w:kern w:val="0"/>
                <w:sz w:val="18"/>
                <w:szCs w:val="18"/>
                <w:lang w:bidi="ar"/>
              </w:rPr>
              <w:t>全志科技</w:t>
            </w:r>
          </w:p>
        </w:tc>
        <w:tc>
          <w:tcPr>
            <w:tcW w:w="735" w:type="pct"/>
            <w:shd w:val="clear" w:color="auto" w:fill="auto"/>
            <w:vAlign w:val="center"/>
          </w:tcPr>
          <w:p w14:paraId="3761613C"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91.08</w:t>
            </w:r>
          </w:p>
        </w:tc>
        <w:tc>
          <w:tcPr>
            <w:tcW w:w="737" w:type="pct"/>
            <w:shd w:val="clear" w:color="auto" w:fill="auto"/>
            <w:vAlign w:val="center"/>
          </w:tcPr>
          <w:p w14:paraId="2DDBFB89"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0.6315</w:t>
            </w:r>
          </w:p>
        </w:tc>
      </w:tr>
      <w:tr w:rsidR="00BD3166" w14:paraId="4953CD76" w14:textId="77777777">
        <w:trPr>
          <w:trHeight w:val="280"/>
          <w:jc w:val="center"/>
        </w:trPr>
        <w:tc>
          <w:tcPr>
            <w:tcW w:w="1034" w:type="pct"/>
            <w:shd w:val="clear" w:color="auto" w:fill="auto"/>
            <w:noWrap/>
            <w:vAlign w:val="center"/>
          </w:tcPr>
          <w:p w14:paraId="1955867C" w14:textId="77777777" w:rsidR="00BD3166" w:rsidRDefault="00C64679">
            <w:pPr>
              <w:widowControl/>
              <w:jc w:val="center"/>
              <w:rPr>
                <w:rFonts w:ascii="Times New Roman" w:eastAsia="等线" w:hAnsi="Times New Roman" w:cs="Times New Roman"/>
                <w:sz w:val="18"/>
                <w:szCs w:val="18"/>
              </w:rPr>
            </w:pPr>
            <w:r>
              <w:rPr>
                <w:rFonts w:ascii="Times New Roman" w:eastAsia="等线" w:hAnsi="Times New Roman" w:cs="Times New Roman"/>
                <w:sz w:val="18"/>
                <w:szCs w:val="18"/>
              </w:rPr>
              <w:t>4</w:t>
            </w:r>
          </w:p>
        </w:tc>
        <w:tc>
          <w:tcPr>
            <w:tcW w:w="946" w:type="pct"/>
            <w:shd w:val="clear" w:color="auto" w:fill="auto"/>
            <w:noWrap/>
            <w:vAlign w:val="center"/>
          </w:tcPr>
          <w:p w14:paraId="01150703" w14:textId="77777777" w:rsidR="00BD3166" w:rsidRDefault="00C64679">
            <w:pPr>
              <w:widowControl/>
              <w:jc w:val="center"/>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300327.SZ</w:t>
            </w:r>
          </w:p>
        </w:tc>
        <w:tc>
          <w:tcPr>
            <w:tcW w:w="1545" w:type="pct"/>
            <w:shd w:val="clear" w:color="auto" w:fill="auto"/>
            <w:noWrap/>
            <w:vAlign w:val="center"/>
          </w:tcPr>
          <w:p w14:paraId="1EBAA7E7" w14:textId="77777777" w:rsidR="00BD3166" w:rsidRDefault="00C64679">
            <w:pPr>
              <w:widowControl/>
              <w:jc w:val="center"/>
              <w:textAlignment w:val="center"/>
              <w:rPr>
                <w:rFonts w:ascii="Times New Roman" w:hAnsi="Times New Roman" w:cs="Times New Roman"/>
                <w:kern w:val="0"/>
                <w:sz w:val="18"/>
                <w:szCs w:val="18"/>
              </w:rPr>
            </w:pPr>
            <w:proofErr w:type="gramStart"/>
            <w:r>
              <w:rPr>
                <w:rFonts w:ascii="Times New Roman" w:eastAsia="宋体" w:hAnsi="Times New Roman" w:cs="Times New Roman" w:hint="eastAsia"/>
                <w:color w:val="000000"/>
                <w:kern w:val="0"/>
                <w:sz w:val="18"/>
                <w:szCs w:val="18"/>
                <w:lang w:bidi="ar"/>
              </w:rPr>
              <w:t>中颖电子</w:t>
            </w:r>
            <w:proofErr w:type="gramEnd"/>
          </w:p>
        </w:tc>
        <w:tc>
          <w:tcPr>
            <w:tcW w:w="735" w:type="pct"/>
            <w:shd w:val="clear" w:color="auto" w:fill="auto"/>
            <w:vAlign w:val="center"/>
          </w:tcPr>
          <w:p w14:paraId="79C80A07"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98.83</w:t>
            </w:r>
          </w:p>
        </w:tc>
        <w:tc>
          <w:tcPr>
            <w:tcW w:w="737" w:type="pct"/>
            <w:shd w:val="clear" w:color="auto" w:fill="auto"/>
            <w:vAlign w:val="center"/>
          </w:tcPr>
          <w:p w14:paraId="0A35B455"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0.5819</w:t>
            </w:r>
          </w:p>
        </w:tc>
      </w:tr>
      <w:tr w:rsidR="00BD3166" w14:paraId="0D5EA6ED" w14:textId="77777777">
        <w:trPr>
          <w:trHeight w:val="280"/>
          <w:jc w:val="center"/>
        </w:trPr>
        <w:tc>
          <w:tcPr>
            <w:tcW w:w="1034" w:type="pct"/>
            <w:shd w:val="clear" w:color="auto" w:fill="auto"/>
            <w:noWrap/>
            <w:vAlign w:val="center"/>
          </w:tcPr>
          <w:p w14:paraId="2EFE04A1" w14:textId="77777777" w:rsidR="00BD3166" w:rsidRDefault="00C64679">
            <w:pPr>
              <w:widowControl/>
              <w:jc w:val="center"/>
              <w:rPr>
                <w:rFonts w:ascii="Times New Roman" w:eastAsia="等线" w:hAnsi="Times New Roman" w:cs="Times New Roman"/>
                <w:sz w:val="18"/>
                <w:szCs w:val="18"/>
              </w:rPr>
            </w:pPr>
            <w:r>
              <w:rPr>
                <w:rFonts w:ascii="Times New Roman" w:eastAsia="等线" w:hAnsi="Times New Roman" w:cs="Times New Roman"/>
                <w:sz w:val="18"/>
                <w:szCs w:val="18"/>
              </w:rPr>
              <w:t>5</w:t>
            </w:r>
          </w:p>
        </w:tc>
        <w:tc>
          <w:tcPr>
            <w:tcW w:w="946" w:type="pct"/>
            <w:shd w:val="clear" w:color="auto" w:fill="auto"/>
            <w:noWrap/>
            <w:vAlign w:val="center"/>
          </w:tcPr>
          <w:p w14:paraId="62046961" w14:textId="77777777" w:rsidR="00BD3166" w:rsidRDefault="00C64679">
            <w:pPr>
              <w:widowControl/>
              <w:jc w:val="center"/>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603160.SH</w:t>
            </w:r>
          </w:p>
        </w:tc>
        <w:tc>
          <w:tcPr>
            <w:tcW w:w="1545" w:type="pct"/>
            <w:shd w:val="clear" w:color="auto" w:fill="auto"/>
            <w:noWrap/>
            <w:vAlign w:val="center"/>
          </w:tcPr>
          <w:p w14:paraId="5E4BA6B9" w14:textId="77777777" w:rsidR="00BD3166" w:rsidRDefault="00C64679">
            <w:pPr>
              <w:widowControl/>
              <w:jc w:val="center"/>
              <w:textAlignment w:val="center"/>
              <w:rPr>
                <w:rFonts w:ascii="Times New Roman" w:hAnsi="Times New Roman" w:cs="Times New Roman"/>
                <w:kern w:val="0"/>
                <w:sz w:val="18"/>
                <w:szCs w:val="18"/>
              </w:rPr>
            </w:pPr>
            <w:proofErr w:type="gramStart"/>
            <w:r>
              <w:rPr>
                <w:rFonts w:ascii="Times New Roman" w:eastAsia="宋体" w:hAnsi="Times New Roman" w:cs="Times New Roman" w:hint="eastAsia"/>
                <w:color w:val="000000"/>
                <w:kern w:val="0"/>
                <w:sz w:val="18"/>
                <w:szCs w:val="18"/>
                <w:lang w:bidi="ar"/>
              </w:rPr>
              <w:t>汇顶科技</w:t>
            </w:r>
            <w:proofErr w:type="gramEnd"/>
          </w:p>
        </w:tc>
        <w:tc>
          <w:tcPr>
            <w:tcW w:w="735" w:type="pct"/>
            <w:shd w:val="clear" w:color="auto" w:fill="auto"/>
            <w:vAlign w:val="center"/>
          </w:tcPr>
          <w:p w14:paraId="1747E40C"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90.45</w:t>
            </w:r>
          </w:p>
        </w:tc>
        <w:tc>
          <w:tcPr>
            <w:tcW w:w="737" w:type="pct"/>
            <w:shd w:val="clear" w:color="auto" w:fill="auto"/>
            <w:vAlign w:val="center"/>
          </w:tcPr>
          <w:p w14:paraId="3C0455DC"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0.6358</w:t>
            </w:r>
          </w:p>
        </w:tc>
      </w:tr>
    </w:tbl>
    <w:p w14:paraId="033688F3" w14:textId="77777777" w:rsidR="00BD3166" w:rsidRDefault="00C64679">
      <w:pPr>
        <w:pStyle w:val="zw"/>
        <w:snapToGrid w:val="0"/>
        <w:rPr>
          <w:rFonts w:ascii="宋体" w:eastAsia="宋体" w:hAnsi="宋体" w:cs="Arial Narrow"/>
          <w:sz w:val="21"/>
          <w:szCs w:val="16"/>
        </w:rPr>
      </w:pPr>
      <w:r>
        <w:rPr>
          <w:rFonts w:ascii="宋体" w:eastAsia="宋体" w:hAnsi="宋体" w:cs="Arial Narrow" w:hint="eastAsia"/>
          <w:sz w:val="21"/>
          <w:szCs w:val="16"/>
        </w:rPr>
        <w:t>注</w:t>
      </w:r>
      <w:r>
        <w:rPr>
          <w:rFonts w:ascii="宋体" w:eastAsia="宋体" w:hAnsi="宋体" w:cs="Arial Narrow"/>
          <w:sz w:val="21"/>
          <w:szCs w:val="16"/>
        </w:rPr>
        <w:t>1</w:t>
      </w:r>
      <w:r>
        <w:rPr>
          <w:rFonts w:ascii="宋体" w:eastAsia="宋体" w:hAnsi="宋体" w:cs="Arial Narrow" w:hint="eastAsia"/>
          <w:sz w:val="21"/>
          <w:szCs w:val="16"/>
        </w:rPr>
        <w:t>：</w:t>
      </w:r>
      <w:proofErr w:type="gramStart"/>
      <w:r>
        <w:rPr>
          <w:rFonts w:ascii="宋体" w:eastAsia="宋体" w:hAnsi="宋体" w:cs="Arial Narrow" w:hint="eastAsia"/>
          <w:sz w:val="21"/>
          <w:szCs w:val="16"/>
        </w:rPr>
        <w:t>澄天伟业</w:t>
      </w:r>
      <w:proofErr w:type="gramEnd"/>
      <w:r>
        <w:rPr>
          <w:rFonts w:ascii="宋体" w:eastAsia="宋体" w:hAnsi="宋体" w:cs="Arial Narrow" w:hint="eastAsia"/>
          <w:sz w:val="21"/>
          <w:szCs w:val="16"/>
        </w:rPr>
        <w:t>调整系数较大，主要</w:t>
      </w:r>
      <w:proofErr w:type="gramStart"/>
      <w:r>
        <w:rPr>
          <w:rFonts w:ascii="宋体" w:eastAsia="宋体" w:hAnsi="宋体" w:cs="Arial Narrow" w:hint="eastAsia"/>
          <w:sz w:val="21"/>
          <w:szCs w:val="16"/>
        </w:rPr>
        <w:t>系澄天</w:t>
      </w:r>
      <w:proofErr w:type="gramEnd"/>
      <w:r>
        <w:rPr>
          <w:rFonts w:ascii="宋体" w:eastAsia="宋体" w:hAnsi="宋体" w:cs="Arial Narrow" w:hint="eastAsia"/>
          <w:sz w:val="21"/>
          <w:szCs w:val="16"/>
        </w:rPr>
        <w:t>伟业经营增长状况三项均为负值导致。</w:t>
      </w:r>
    </w:p>
    <w:p w14:paraId="5E308441" w14:textId="77777777" w:rsidR="00BD3166" w:rsidRDefault="00BD3166">
      <w:pPr>
        <w:pStyle w:val="zw"/>
        <w:snapToGrid w:val="0"/>
        <w:rPr>
          <w:rFonts w:ascii="宋体" w:eastAsia="宋体" w:hAnsi="宋体" w:cs="Arial Narrow"/>
        </w:rPr>
      </w:pPr>
    </w:p>
    <w:p w14:paraId="064E9161" w14:textId="77777777" w:rsidR="00BD3166" w:rsidRDefault="00C64679">
      <w:pPr>
        <w:pStyle w:val="zw"/>
        <w:snapToGrid w:val="0"/>
        <w:rPr>
          <w:rFonts w:eastAsia="宋体" w:cs="Arial Narrow"/>
        </w:rPr>
      </w:pPr>
      <w:r>
        <w:rPr>
          <w:rFonts w:ascii="宋体" w:eastAsia="宋体" w:hAnsi="宋体" w:cs="Arial Narrow" w:hint="eastAsia"/>
        </w:rPr>
        <w:t>5、</w:t>
      </w:r>
      <w:r>
        <w:rPr>
          <w:rFonts w:eastAsia="宋体" w:cs="Arial Narrow" w:hint="eastAsia"/>
        </w:rPr>
        <w:t>将</w:t>
      </w:r>
      <w:r>
        <w:rPr>
          <w:rFonts w:eastAsia="宋体" w:cs="Arial Narrow"/>
        </w:rPr>
        <w:t>总调整</w:t>
      </w:r>
      <w:r>
        <w:rPr>
          <w:rFonts w:eastAsia="宋体" w:cs="Arial Narrow" w:hint="eastAsia"/>
        </w:rPr>
        <w:t>系数乘以可比上市公司价值比率后得到修正后的价值比率：</w:t>
      </w:r>
    </w:p>
    <w:tbl>
      <w:tblPr>
        <w:tblW w:w="5000" w:type="pct"/>
        <w:tblLook w:val="04A0" w:firstRow="1" w:lastRow="0" w:firstColumn="1" w:lastColumn="0" w:noHBand="0" w:noVBand="1"/>
      </w:tblPr>
      <w:tblGrid>
        <w:gridCol w:w="676"/>
        <w:gridCol w:w="1270"/>
        <w:gridCol w:w="2018"/>
        <w:gridCol w:w="1791"/>
        <w:gridCol w:w="1202"/>
        <w:gridCol w:w="1565"/>
      </w:tblGrid>
      <w:tr w:rsidR="00BD3166" w14:paraId="3E31F200" w14:textId="77777777">
        <w:trPr>
          <w:trHeight w:val="696"/>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0F2BDF9A" w14:textId="77777777" w:rsidR="00BD3166" w:rsidRDefault="00C64679">
            <w:pPr>
              <w:widowControl/>
              <w:jc w:val="center"/>
              <w:rPr>
                <w:rFonts w:ascii="Times New Roman" w:hAnsi="Times New Roman" w:cs="Times New Roman"/>
                <w:b/>
                <w:bCs/>
                <w:sz w:val="18"/>
                <w:szCs w:val="18"/>
              </w:rPr>
            </w:pPr>
            <w:r>
              <w:rPr>
                <w:rFonts w:ascii="Times New Roman" w:hAnsi="Times New Roman" w:cs="Times New Roman" w:hint="eastAsia"/>
                <w:b/>
                <w:bCs/>
                <w:sz w:val="18"/>
                <w:szCs w:val="18"/>
              </w:rPr>
              <w:t>序号</w:t>
            </w:r>
          </w:p>
        </w:tc>
        <w:tc>
          <w:tcPr>
            <w:tcW w:w="745" w:type="pct"/>
            <w:tcBorders>
              <w:top w:val="single" w:sz="4" w:space="0" w:color="auto"/>
              <w:left w:val="nil"/>
              <w:bottom w:val="single" w:sz="4" w:space="0" w:color="auto"/>
              <w:right w:val="single" w:sz="4" w:space="0" w:color="auto"/>
            </w:tcBorders>
            <w:shd w:val="clear" w:color="auto" w:fill="auto"/>
            <w:noWrap/>
            <w:vAlign w:val="center"/>
          </w:tcPr>
          <w:p w14:paraId="212DD49D" w14:textId="77777777" w:rsidR="00BD3166" w:rsidRDefault="00C64679">
            <w:pPr>
              <w:widowControl/>
              <w:jc w:val="center"/>
              <w:rPr>
                <w:rFonts w:ascii="Times New Roman" w:hAnsi="Times New Roman" w:cs="Times New Roman"/>
                <w:b/>
                <w:bCs/>
                <w:sz w:val="18"/>
                <w:szCs w:val="18"/>
              </w:rPr>
            </w:pPr>
            <w:r>
              <w:rPr>
                <w:rFonts w:ascii="Times New Roman" w:hAnsi="Times New Roman" w:cs="Times New Roman" w:hint="eastAsia"/>
                <w:b/>
                <w:bCs/>
                <w:sz w:val="18"/>
                <w:szCs w:val="18"/>
              </w:rPr>
              <w:t>证券代码</w:t>
            </w:r>
          </w:p>
        </w:tc>
        <w:tc>
          <w:tcPr>
            <w:tcW w:w="1182" w:type="pct"/>
            <w:tcBorders>
              <w:top w:val="single" w:sz="4" w:space="0" w:color="auto"/>
              <w:left w:val="nil"/>
              <w:bottom w:val="single" w:sz="4" w:space="0" w:color="auto"/>
              <w:right w:val="single" w:sz="4" w:space="0" w:color="auto"/>
            </w:tcBorders>
            <w:shd w:val="clear" w:color="auto" w:fill="auto"/>
            <w:vAlign w:val="center"/>
          </w:tcPr>
          <w:p w14:paraId="76425151" w14:textId="77777777" w:rsidR="00BD3166" w:rsidRDefault="00C64679">
            <w:pPr>
              <w:widowControl/>
              <w:jc w:val="center"/>
              <w:rPr>
                <w:rFonts w:ascii="Times New Roman" w:hAnsi="Times New Roman" w:cs="Times New Roman"/>
                <w:b/>
                <w:bCs/>
                <w:sz w:val="18"/>
                <w:szCs w:val="18"/>
              </w:rPr>
            </w:pPr>
            <w:r>
              <w:rPr>
                <w:rFonts w:ascii="Times New Roman" w:hAnsi="Times New Roman" w:cs="Times New Roman" w:hint="eastAsia"/>
                <w:b/>
                <w:bCs/>
                <w:sz w:val="18"/>
                <w:szCs w:val="18"/>
              </w:rPr>
              <w:t>公司名称</w:t>
            </w:r>
          </w:p>
        </w:tc>
        <w:tc>
          <w:tcPr>
            <w:tcW w:w="1050" w:type="pct"/>
            <w:tcBorders>
              <w:top w:val="single" w:sz="4" w:space="0" w:color="auto"/>
              <w:left w:val="nil"/>
              <w:bottom w:val="single" w:sz="4" w:space="0" w:color="auto"/>
              <w:right w:val="single" w:sz="4" w:space="0" w:color="auto"/>
            </w:tcBorders>
            <w:shd w:val="clear" w:color="auto" w:fill="auto"/>
            <w:vAlign w:val="center"/>
          </w:tcPr>
          <w:p w14:paraId="693678CC" w14:textId="77777777" w:rsidR="00BD3166" w:rsidRDefault="00C64679">
            <w:pPr>
              <w:widowControl/>
              <w:jc w:val="center"/>
              <w:rPr>
                <w:rFonts w:ascii="Times New Roman" w:hAnsi="Times New Roman" w:cs="Times New Roman"/>
                <w:b/>
                <w:bCs/>
                <w:sz w:val="18"/>
                <w:szCs w:val="18"/>
              </w:rPr>
            </w:pPr>
            <w:r>
              <w:rPr>
                <w:rFonts w:ascii="Times New Roman" w:hAnsi="Times New Roman" w:cs="Times New Roman" w:hint="eastAsia"/>
                <w:b/>
                <w:bCs/>
                <w:sz w:val="18"/>
                <w:szCs w:val="18"/>
              </w:rPr>
              <w:t>市盈率</w:t>
            </w:r>
            <w:r>
              <w:rPr>
                <w:rFonts w:ascii="Times New Roman" w:hAnsi="Times New Roman" w:cs="Times New Roman" w:hint="eastAsia"/>
                <w:b/>
                <w:bCs/>
                <w:sz w:val="18"/>
                <w:szCs w:val="18"/>
              </w:rPr>
              <w:t>PE</w:t>
            </w:r>
          </w:p>
          <w:p w14:paraId="69C52B5C" w14:textId="77777777" w:rsidR="00BD3166" w:rsidRDefault="00C64679">
            <w:pPr>
              <w:widowControl/>
              <w:jc w:val="center"/>
              <w:rPr>
                <w:rFonts w:ascii="Times New Roman" w:eastAsia="宋体" w:hAnsi="Times New Roman" w:cs="Times New Roman"/>
                <w:b/>
                <w:bCs/>
                <w:sz w:val="18"/>
                <w:szCs w:val="18"/>
              </w:rPr>
            </w:pPr>
            <w:r>
              <w:rPr>
                <w:rFonts w:ascii="Times New Roman" w:hAnsi="Times New Roman" w:cs="Times New Roman"/>
                <w:b/>
                <w:bCs/>
                <w:sz w:val="18"/>
                <w:szCs w:val="18"/>
              </w:rPr>
              <w:t>2020-12-31</w:t>
            </w:r>
          </w:p>
        </w:tc>
        <w:tc>
          <w:tcPr>
            <w:tcW w:w="705" w:type="pct"/>
            <w:tcBorders>
              <w:top w:val="single" w:sz="4" w:space="0" w:color="auto"/>
              <w:left w:val="nil"/>
              <w:bottom w:val="single" w:sz="4" w:space="0" w:color="auto"/>
              <w:right w:val="single" w:sz="4" w:space="0" w:color="auto"/>
            </w:tcBorders>
            <w:shd w:val="clear" w:color="auto" w:fill="auto"/>
            <w:vAlign w:val="center"/>
          </w:tcPr>
          <w:p w14:paraId="4C1D4EEC" w14:textId="77777777" w:rsidR="00BD3166" w:rsidRDefault="00C64679">
            <w:pPr>
              <w:widowControl/>
              <w:jc w:val="center"/>
              <w:rPr>
                <w:rFonts w:ascii="Times New Roman" w:hAnsi="Times New Roman" w:cs="Times New Roman"/>
                <w:b/>
                <w:bCs/>
                <w:sz w:val="18"/>
                <w:szCs w:val="18"/>
              </w:rPr>
            </w:pPr>
            <w:r>
              <w:rPr>
                <w:rFonts w:ascii="Times New Roman" w:hAnsi="Times New Roman" w:cs="Times New Roman" w:hint="eastAsia"/>
                <w:b/>
                <w:bCs/>
                <w:sz w:val="18"/>
                <w:szCs w:val="18"/>
              </w:rPr>
              <w:t>修正系数</w:t>
            </w:r>
          </w:p>
        </w:tc>
        <w:tc>
          <w:tcPr>
            <w:tcW w:w="917" w:type="pct"/>
            <w:tcBorders>
              <w:top w:val="single" w:sz="4" w:space="0" w:color="auto"/>
              <w:left w:val="nil"/>
              <w:bottom w:val="single" w:sz="4" w:space="0" w:color="auto"/>
              <w:right w:val="single" w:sz="4" w:space="0" w:color="auto"/>
            </w:tcBorders>
            <w:shd w:val="clear" w:color="auto" w:fill="auto"/>
            <w:vAlign w:val="center"/>
          </w:tcPr>
          <w:p w14:paraId="1B69A028" w14:textId="77777777" w:rsidR="00BD3166" w:rsidRDefault="00C64679">
            <w:pPr>
              <w:widowControl/>
              <w:jc w:val="center"/>
              <w:rPr>
                <w:rFonts w:ascii="Times New Roman" w:hAnsi="Times New Roman" w:cs="Times New Roman"/>
                <w:b/>
                <w:bCs/>
                <w:sz w:val="18"/>
                <w:szCs w:val="18"/>
              </w:rPr>
            </w:pPr>
            <w:r>
              <w:rPr>
                <w:rFonts w:ascii="Times New Roman" w:hAnsi="Times New Roman" w:cs="Times New Roman" w:hint="eastAsia"/>
                <w:b/>
                <w:bCs/>
                <w:sz w:val="18"/>
                <w:szCs w:val="18"/>
              </w:rPr>
              <w:t>修正后市盈率</w:t>
            </w:r>
            <w:r>
              <w:rPr>
                <w:rFonts w:ascii="Times New Roman" w:hAnsi="Times New Roman" w:cs="Times New Roman" w:hint="eastAsia"/>
                <w:b/>
                <w:bCs/>
                <w:sz w:val="18"/>
                <w:szCs w:val="18"/>
              </w:rPr>
              <w:t>PE</w:t>
            </w:r>
          </w:p>
        </w:tc>
      </w:tr>
      <w:tr w:rsidR="00BD3166" w14:paraId="59FD539B" w14:textId="77777777">
        <w:trPr>
          <w:trHeight w:val="28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1D1DD12E" w14:textId="77777777" w:rsidR="00BD3166" w:rsidRDefault="00C64679">
            <w:pPr>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745" w:type="pct"/>
            <w:tcBorders>
              <w:top w:val="nil"/>
              <w:left w:val="nil"/>
              <w:bottom w:val="single" w:sz="4" w:space="0" w:color="auto"/>
              <w:right w:val="single" w:sz="4" w:space="0" w:color="auto"/>
            </w:tcBorders>
            <w:shd w:val="clear" w:color="auto" w:fill="auto"/>
            <w:noWrap/>
            <w:vAlign w:val="center"/>
          </w:tcPr>
          <w:p w14:paraId="1BEE89C3" w14:textId="77777777" w:rsidR="00BD3166" w:rsidRDefault="00C64679">
            <w:pPr>
              <w:widowControl/>
              <w:jc w:val="center"/>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300689.SZ</w:t>
            </w:r>
          </w:p>
        </w:tc>
        <w:tc>
          <w:tcPr>
            <w:tcW w:w="1182" w:type="pct"/>
            <w:tcBorders>
              <w:top w:val="nil"/>
              <w:left w:val="nil"/>
              <w:bottom w:val="single" w:sz="4" w:space="0" w:color="auto"/>
              <w:right w:val="single" w:sz="4" w:space="0" w:color="auto"/>
            </w:tcBorders>
            <w:shd w:val="clear" w:color="auto" w:fill="auto"/>
            <w:noWrap/>
            <w:vAlign w:val="center"/>
          </w:tcPr>
          <w:p w14:paraId="2927AC39" w14:textId="77777777" w:rsidR="00BD3166" w:rsidRDefault="00C64679">
            <w:pPr>
              <w:widowControl/>
              <w:jc w:val="center"/>
              <w:textAlignment w:val="center"/>
              <w:rPr>
                <w:rFonts w:ascii="Times New Roman" w:hAnsi="Times New Roman" w:cs="Times New Roman"/>
                <w:kern w:val="0"/>
                <w:sz w:val="18"/>
                <w:szCs w:val="18"/>
              </w:rPr>
            </w:pPr>
            <w:proofErr w:type="gramStart"/>
            <w:r>
              <w:rPr>
                <w:rFonts w:ascii="Times New Roman" w:eastAsia="宋体" w:hAnsi="Times New Roman" w:cs="Times New Roman" w:hint="eastAsia"/>
                <w:color w:val="000000"/>
                <w:kern w:val="0"/>
                <w:sz w:val="18"/>
                <w:szCs w:val="18"/>
                <w:lang w:bidi="ar"/>
              </w:rPr>
              <w:t>澄天伟业</w:t>
            </w:r>
            <w:proofErr w:type="gramEnd"/>
          </w:p>
        </w:tc>
        <w:tc>
          <w:tcPr>
            <w:tcW w:w="1050" w:type="pct"/>
            <w:tcBorders>
              <w:top w:val="nil"/>
              <w:left w:val="nil"/>
              <w:bottom w:val="single" w:sz="4" w:space="0" w:color="auto"/>
              <w:right w:val="single" w:sz="4" w:space="0" w:color="auto"/>
            </w:tcBorders>
            <w:shd w:val="clear" w:color="auto" w:fill="auto"/>
            <w:noWrap/>
            <w:vAlign w:val="center"/>
          </w:tcPr>
          <w:p w14:paraId="7206CAE4" w14:textId="77777777" w:rsidR="00BD3166" w:rsidRDefault="00C64679">
            <w:pPr>
              <w:widowControl/>
              <w:jc w:val="right"/>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 xml:space="preserve"> 67.94 </w:t>
            </w:r>
          </w:p>
        </w:tc>
        <w:tc>
          <w:tcPr>
            <w:tcW w:w="705" w:type="pct"/>
            <w:tcBorders>
              <w:top w:val="nil"/>
              <w:left w:val="nil"/>
              <w:bottom w:val="single" w:sz="4" w:space="0" w:color="auto"/>
              <w:right w:val="single" w:sz="4" w:space="0" w:color="auto"/>
            </w:tcBorders>
            <w:shd w:val="clear" w:color="auto" w:fill="auto"/>
            <w:noWrap/>
            <w:vAlign w:val="center"/>
          </w:tcPr>
          <w:p w14:paraId="09A271E9"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1.0172</w:t>
            </w:r>
          </w:p>
        </w:tc>
        <w:tc>
          <w:tcPr>
            <w:tcW w:w="917" w:type="pct"/>
            <w:tcBorders>
              <w:top w:val="nil"/>
              <w:left w:val="nil"/>
              <w:bottom w:val="single" w:sz="4" w:space="0" w:color="auto"/>
              <w:right w:val="single" w:sz="4" w:space="0" w:color="auto"/>
            </w:tcBorders>
            <w:shd w:val="clear" w:color="auto" w:fill="auto"/>
            <w:noWrap/>
            <w:vAlign w:val="center"/>
          </w:tcPr>
          <w:p w14:paraId="37F8AC78"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 xml:space="preserve"> 69.11 </w:t>
            </w:r>
          </w:p>
        </w:tc>
      </w:tr>
      <w:tr w:rsidR="00BD3166" w14:paraId="6A6C038F" w14:textId="77777777">
        <w:trPr>
          <w:trHeight w:val="28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667D3D3E" w14:textId="77777777" w:rsidR="00BD3166" w:rsidRDefault="00C64679">
            <w:pPr>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745" w:type="pct"/>
            <w:tcBorders>
              <w:top w:val="nil"/>
              <w:left w:val="nil"/>
              <w:bottom w:val="single" w:sz="4" w:space="0" w:color="auto"/>
              <w:right w:val="single" w:sz="4" w:space="0" w:color="auto"/>
            </w:tcBorders>
            <w:shd w:val="clear" w:color="auto" w:fill="auto"/>
            <w:noWrap/>
            <w:vAlign w:val="center"/>
          </w:tcPr>
          <w:p w14:paraId="6DA36EDA" w14:textId="77777777" w:rsidR="00BD3166" w:rsidRDefault="00C64679">
            <w:pPr>
              <w:widowControl/>
              <w:jc w:val="center"/>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300458.SZ</w:t>
            </w:r>
          </w:p>
        </w:tc>
        <w:tc>
          <w:tcPr>
            <w:tcW w:w="1182" w:type="pct"/>
            <w:tcBorders>
              <w:top w:val="nil"/>
              <w:left w:val="nil"/>
              <w:bottom w:val="single" w:sz="4" w:space="0" w:color="auto"/>
              <w:right w:val="single" w:sz="4" w:space="0" w:color="auto"/>
            </w:tcBorders>
            <w:shd w:val="clear" w:color="auto" w:fill="auto"/>
            <w:noWrap/>
            <w:vAlign w:val="center"/>
          </w:tcPr>
          <w:p w14:paraId="31E0A0A6" w14:textId="77777777" w:rsidR="00BD3166" w:rsidRDefault="00C64679">
            <w:pPr>
              <w:widowControl/>
              <w:jc w:val="center"/>
              <w:textAlignment w:val="center"/>
              <w:rPr>
                <w:rFonts w:ascii="Times New Roman" w:hAnsi="Times New Roman" w:cs="Times New Roman"/>
                <w:kern w:val="0"/>
                <w:sz w:val="18"/>
                <w:szCs w:val="18"/>
              </w:rPr>
            </w:pPr>
            <w:r>
              <w:rPr>
                <w:rFonts w:ascii="Times New Roman" w:eastAsia="宋体" w:hAnsi="Times New Roman" w:cs="Times New Roman" w:hint="eastAsia"/>
                <w:color w:val="000000"/>
                <w:kern w:val="0"/>
                <w:sz w:val="18"/>
                <w:szCs w:val="18"/>
                <w:lang w:bidi="ar"/>
              </w:rPr>
              <w:t>全志科技</w:t>
            </w:r>
          </w:p>
        </w:tc>
        <w:tc>
          <w:tcPr>
            <w:tcW w:w="1050" w:type="pct"/>
            <w:tcBorders>
              <w:top w:val="nil"/>
              <w:left w:val="nil"/>
              <w:bottom w:val="single" w:sz="4" w:space="0" w:color="auto"/>
              <w:right w:val="single" w:sz="4" w:space="0" w:color="auto"/>
            </w:tcBorders>
            <w:shd w:val="clear" w:color="auto" w:fill="auto"/>
            <w:noWrap/>
            <w:vAlign w:val="center"/>
          </w:tcPr>
          <w:p w14:paraId="117FD919"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 xml:space="preserve"> 67.17 </w:t>
            </w:r>
          </w:p>
        </w:tc>
        <w:tc>
          <w:tcPr>
            <w:tcW w:w="705" w:type="pct"/>
            <w:tcBorders>
              <w:top w:val="nil"/>
              <w:left w:val="nil"/>
              <w:bottom w:val="single" w:sz="4" w:space="0" w:color="auto"/>
              <w:right w:val="single" w:sz="4" w:space="0" w:color="auto"/>
            </w:tcBorders>
            <w:shd w:val="clear" w:color="auto" w:fill="auto"/>
            <w:noWrap/>
            <w:vAlign w:val="center"/>
          </w:tcPr>
          <w:p w14:paraId="70B850EC"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0.6315</w:t>
            </w:r>
          </w:p>
        </w:tc>
        <w:tc>
          <w:tcPr>
            <w:tcW w:w="917" w:type="pct"/>
            <w:tcBorders>
              <w:top w:val="nil"/>
              <w:left w:val="nil"/>
              <w:bottom w:val="single" w:sz="4" w:space="0" w:color="auto"/>
              <w:right w:val="single" w:sz="4" w:space="0" w:color="auto"/>
            </w:tcBorders>
            <w:shd w:val="clear" w:color="auto" w:fill="auto"/>
            <w:noWrap/>
            <w:vAlign w:val="center"/>
          </w:tcPr>
          <w:p w14:paraId="6A055A74"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 xml:space="preserve"> 42.42 </w:t>
            </w:r>
          </w:p>
        </w:tc>
      </w:tr>
      <w:tr w:rsidR="00BD3166" w14:paraId="055DB1DA" w14:textId="77777777">
        <w:trPr>
          <w:trHeight w:val="28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4CD1629C" w14:textId="77777777" w:rsidR="00BD3166" w:rsidRDefault="00C64679">
            <w:pPr>
              <w:widowControl/>
              <w:jc w:val="center"/>
              <w:rPr>
                <w:rFonts w:ascii="Times New Roman" w:hAnsi="Times New Roman" w:cs="Times New Roman"/>
                <w:sz w:val="18"/>
                <w:szCs w:val="18"/>
              </w:rPr>
            </w:pPr>
            <w:r>
              <w:rPr>
                <w:rFonts w:ascii="Times New Roman" w:hAnsi="Times New Roman" w:cs="Times New Roman"/>
                <w:sz w:val="18"/>
                <w:szCs w:val="18"/>
              </w:rPr>
              <w:t>3</w:t>
            </w:r>
          </w:p>
        </w:tc>
        <w:tc>
          <w:tcPr>
            <w:tcW w:w="745" w:type="pct"/>
            <w:tcBorders>
              <w:top w:val="nil"/>
              <w:left w:val="nil"/>
              <w:bottom w:val="single" w:sz="4" w:space="0" w:color="auto"/>
              <w:right w:val="single" w:sz="4" w:space="0" w:color="auto"/>
            </w:tcBorders>
            <w:shd w:val="clear" w:color="auto" w:fill="auto"/>
            <w:noWrap/>
            <w:vAlign w:val="center"/>
          </w:tcPr>
          <w:p w14:paraId="17C0D676" w14:textId="77777777" w:rsidR="00BD3166" w:rsidRDefault="00C64679">
            <w:pPr>
              <w:widowControl/>
              <w:jc w:val="center"/>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300327.SZ</w:t>
            </w:r>
          </w:p>
        </w:tc>
        <w:tc>
          <w:tcPr>
            <w:tcW w:w="1182" w:type="pct"/>
            <w:tcBorders>
              <w:top w:val="nil"/>
              <w:left w:val="nil"/>
              <w:bottom w:val="single" w:sz="4" w:space="0" w:color="auto"/>
              <w:right w:val="single" w:sz="4" w:space="0" w:color="auto"/>
            </w:tcBorders>
            <w:shd w:val="clear" w:color="auto" w:fill="auto"/>
            <w:noWrap/>
            <w:vAlign w:val="center"/>
          </w:tcPr>
          <w:p w14:paraId="5BF033E6" w14:textId="77777777" w:rsidR="00BD3166" w:rsidRDefault="00C64679">
            <w:pPr>
              <w:widowControl/>
              <w:jc w:val="center"/>
              <w:textAlignment w:val="center"/>
              <w:rPr>
                <w:rFonts w:ascii="Times New Roman" w:hAnsi="Times New Roman" w:cs="Times New Roman"/>
                <w:kern w:val="0"/>
                <w:sz w:val="18"/>
                <w:szCs w:val="18"/>
              </w:rPr>
            </w:pPr>
            <w:proofErr w:type="gramStart"/>
            <w:r>
              <w:rPr>
                <w:rFonts w:ascii="Times New Roman" w:eastAsia="宋体" w:hAnsi="Times New Roman" w:cs="Times New Roman" w:hint="eastAsia"/>
                <w:color w:val="000000"/>
                <w:kern w:val="0"/>
                <w:sz w:val="18"/>
                <w:szCs w:val="18"/>
                <w:lang w:bidi="ar"/>
              </w:rPr>
              <w:t>中颖电子</w:t>
            </w:r>
            <w:proofErr w:type="gramEnd"/>
          </w:p>
        </w:tc>
        <w:tc>
          <w:tcPr>
            <w:tcW w:w="1050" w:type="pct"/>
            <w:tcBorders>
              <w:top w:val="nil"/>
              <w:left w:val="nil"/>
              <w:bottom w:val="single" w:sz="4" w:space="0" w:color="auto"/>
              <w:right w:val="single" w:sz="4" w:space="0" w:color="auto"/>
            </w:tcBorders>
            <w:shd w:val="clear" w:color="auto" w:fill="auto"/>
            <w:noWrap/>
            <w:vAlign w:val="center"/>
          </w:tcPr>
          <w:p w14:paraId="2903DFE3"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 xml:space="preserve"> 43.42 </w:t>
            </w:r>
          </w:p>
        </w:tc>
        <w:tc>
          <w:tcPr>
            <w:tcW w:w="705" w:type="pct"/>
            <w:tcBorders>
              <w:top w:val="nil"/>
              <w:left w:val="nil"/>
              <w:bottom w:val="single" w:sz="4" w:space="0" w:color="auto"/>
              <w:right w:val="single" w:sz="4" w:space="0" w:color="auto"/>
            </w:tcBorders>
            <w:shd w:val="clear" w:color="auto" w:fill="auto"/>
            <w:noWrap/>
            <w:vAlign w:val="center"/>
          </w:tcPr>
          <w:p w14:paraId="14B0DF6F"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0.5819</w:t>
            </w:r>
          </w:p>
        </w:tc>
        <w:tc>
          <w:tcPr>
            <w:tcW w:w="917" w:type="pct"/>
            <w:tcBorders>
              <w:top w:val="nil"/>
              <w:left w:val="nil"/>
              <w:bottom w:val="single" w:sz="4" w:space="0" w:color="auto"/>
              <w:right w:val="single" w:sz="4" w:space="0" w:color="auto"/>
            </w:tcBorders>
            <w:shd w:val="clear" w:color="auto" w:fill="auto"/>
            <w:noWrap/>
            <w:vAlign w:val="center"/>
          </w:tcPr>
          <w:p w14:paraId="6078623D"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 xml:space="preserve"> 25.27 </w:t>
            </w:r>
          </w:p>
        </w:tc>
      </w:tr>
      <w:tr w:rsidR="00BD3166" w14:paraId="61E75E9D" w14:textId="77777777">
        <w:trPr>
          <w:trHeight w:val="280"/>
        </w:trPr>
        <w:tc>
          <w:tcPr>
            <w:tcW w:w="397" w:type="pct"/>
            <w:tcBorders>
              <w:top w:val="nil"/>
              <w:left w:val="single" w:sz="4" w:space="0" w:color="auto"/>
              <w:bottom w:val="single" w:sz="4" w:space="0" w:color="auto"/>
              <w:right w:val="single" w:sz="4" w:space="0" w:color="auto"/>
            </w:tcBorders>
            <w:shd w:val="clear" w:color="auto" w:fill="auto"/>
            <w:noWrap/>
            <w:vAlign w:val="center"/>
          </w:tcPr>
          <w:p w14:paraId="767CBD0D" w14:textId="77777777" w:rsidR="00BD3166" w:rsidRDefault="00C64679">
            <w:pPr>
              <w:widowControl/>
              <w:jc w:val="center"/>
              <w:rPr>
                <w:rFonts w:ascii="Times New Roman" w:hAnsi="Times New Roman" w:cs="Times New Roman"/>
                <w:sz w:val="18"/>
                <w:szCs w:val="18"/>
              </w:rPr>
            </w:pPr>
            <w:r>
              <w:rPr>
                <w:rFonts w:ascii="Times New Roman" w:hAnsi="Times New Roman" w:cs="Times New Roman"/>
                <w:sz w:val="18"/>
                <w:szCs w:val="18"/>
              </w:rPr>
              <w:t>4</w:t>
            </w:r>
          </w:p>
        </w:tc>
        <w:tc>
          <w:tcPr>
            <w:tcW w:w="745" w:type="pct"/>
            <w:tcBorders>
              <w:top w:val="nil"/>
              <w:left w:val="nil"/>
              <w:bottom w:val="single" w:sz="4" w:space="0" w:color="auto"/>
              <w:right w:val="single" w:sz="4" w:space="0" w:color="auto"/>
            </w:tcBorders>
            <w:shd w:val="clear" w:color="auto" w:fill="auto"/>
            <w:noWrap/>
            <w:vAlign w:val="center"/>
          </w:tcPr>
          <w:p w14:paraId="2A6D9927" w14:textId="77777777" w:rsidR="00BD3166" w:rsidRDefault="00C64679">
            <w:pPr>
              <w:widowControl/>
              <w:jc w:val="center"/>
              <w:textAlignment w:val="center"/>
              <w:rPr>
                <w:rFonts w:ascii="Times New Roman" w:eastAsia="等线" w:hAnsi="Times New Roman" w:cs="Times New Roman"/>
                <w:kern w:val="0"/>
                <w:sz w:val="18"/>
                <w:szCs w:val="18"/>
              </w:rPr>
            </w:pPr>
            <w:r>
              <w:rPr>
                <w:rFonts w:ascii="Times New Roman" w:eastAsia="Arial Narrow" w:hAnsi="Times New Roman" w:cs="Times New Roman"/>
                <w:color w:val="000000"/>
                <w:kern w:val="0"/>
                <w:sz w:val="18"/>
                <w:szCs w:val="18"/>
                <w:lang w:bidi="ar"/>
              </w:rPr>
              <w:t>603160.SH</w:t>
            </w:r>
          </w:p>
        </w:tc>
        <w:tc>
          <w:tcPr>
            <w:tcW w:w="1182" w:type="pct"/>
            <w:tcBorders>
              <w:top w:val="nil"/>
              <w:left w:val="nil"/>
              <w:bottom w:val="single" w:sz="4" w:space="0" w:color="auto"/>
              <w:right w:val="single" w:sz="4" w:space="0" w:color="auto"/>
            </w:tcBorders>
            <w:shd w:val="clear" w:color="auto" w:fill="auto"/>
            <w:noWrap/>
            <w:vAlign w:val="center"/>
          </w:tcPr>
          <w:p w14:paraId="499949B4" w14:textId="77777777" w:rsidR="00BD3166" w:rsidRDefault="00C64679">
            <w:pPr>
              <w:widowControl/>
              <w:jc w:val="center"/>
              <w:textAlignment w:val="center"/>
              <w:rPr>
                <w:rFonts w:ascii="Times New Roman" w:hAnsi="Times New Roman" w:cs="Times New Roman"/>
                <w:kern w:val="0"/>
                <w:sz w:val="18"/>
                <w:szCs w:val="18"/>
              </w:rPr>
            </w:pPr>
            <w:proofErr w:type="gramStart"/>
            <w:r>
              <w:rPr>
                <w:rFonts w:ascii="Times New Roman" w:eastAsia="宋体" w:hAnsi="Times New Roman" w:cs="Times New Roman" w:hint="eastAsia"/>
                <w:color w:val="000000"/>
                <w:kern w:val="0"/>
                <w:sz w:val="18"/>
                <w:szCs w:val="18"/>
                <w:lang w:bidi="ar"/>
              </w:rPr>
              <w:t>汇顶科技</w:t>
            </w:r>
            <w:proofErr w:type="gramEnd"/>
          </w:p>
        </w:tc>
        <w:tc>
          <w:tcPr>
            <w:tcW w:w="1050" w:type="pct"/>
            <w:tcBorders>
              <w:top w:val="nil"/>
              <w:left w:val="nil"/>
              <w:bottom w:val="single" w:sz="4" w:space="0" w:color="auto"/>
              <w:right w:val="single" w:sz="4" w:space="0" w:color="auto"/>
            </w:tcBorders>
            <w:shd w:val="clear" w:color="auto" w:fill="auto"/>
            <w:noWrap/>
            <w:vAlign w:val="center"/>
          </w:tcPr>
          <w:p w14:paraId="18AD64BF"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 xml:space="preserve"> 41.75 </w:t>
            </w:r>
          </w:p>
        </w:tc>
        <w:tc>
          <w:tcPr>
            <w:tcW w:w="705" w:type="pct"/>
            <w:tcBorders>
              <w:top w:val="nil"/>
              <w:left w:val="nil"/>
              <w:bottom w:val="single" w:sz="4" w:space="0" w:color="auto"/>
              <w:right w:val="single" w:sz="4" w:space="0" w:color="auto"/>
            </w:tcBorders>
            <w:shd w:val="clear" w:color="auto" w:fill="auto"/>
            <w:noWrap/>
            <w:vAlign w:val="center"/>
          </w:tcPr>
          <w:p w14:paraId="4EFEAB82"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0.6358</w:t>
            </w:r>
          </w:p>
        </w:tc>
        <w:tc>
          <w:tcPr>
            <w:tcW w:w="917" w:type="pct"/>
            <w:tcBorders>
              <w:top w:val="nil"/>
              <w:left w:val="nil"/>
              <w:bottom w:val="single" w:sz="4" w:space="0" w:color="auto"/>
              <w:right w:val="single" w:sz="4" w:space="0" w:color="auto"/>
            </w:tcBorders>
            <w:shd w:val="clear" w:color="auto" w:fill="auto"/>
            <w:noWrap/>
            <w:vAlign w:val="center"/>
          </w:tcPr>
          <w:p w14:paraId="1B0675F1" w14:textId="77777777" w:rsidR="00BD3166" w:rsidRDefault="00C64679">
            <w:pPr>
              <w:widowControl/>
              <w:jc w:val="right"/>
              <w:textAlignment w:val="center"/>
              <w:rPr>
                <w:rFonts w:ascii="Times New Roman" w:eastAsia="等线" w:hAnsi="Times New Roman" w:cs="Times New Roman"/>
                <w:sz w:val="18"/>
                <w:szCs w:val="18"/>
              </w:rPr>
            </w:pPr>
            <w:r>
              <w:rPr>
                <w:rFonts w:ascii="Times New Roman" w:eastAsia="Arial Narrow" w:hAnsi="Times New Roman" w:cs="Times New Roman"/>
                <w:color w:val="000000"/>
                <w:kern w:val="0"/>
                <w:sz w:val="18"/>
                <w:szCs w:val="18"/>
                <w:lang w:bidi="ar"/>
              </w:rPr>
              <w:t xml:space="preserve"> 26.54 </w:t>
            </w:r>
          </w:p>
        </w:tc>
      </w:tr>
      <w:tr w:rsidR="00BD3166" w14:paraId="6B9DF1C4" w14:textId="77777777">
        <w:trPr>
          <w:trHeight w:val="280"/>
        </w:trPr>
        <w:tc>
          <w:tcPr>
            <w:tcW w:w="232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25927E" w14:textId="77777777" w:rsidR="00BD3166" w:rsidRDefault="00C64679">
            <w:pPr>
              <w:jc w:val="center"/>
              <w:rPr>
                <w:rFonts w:ascii="Times New Roman" w:hAnsi="Times New Roman" w:cs="Times New Roman"/>
                <w:bCs/>
                <w:sz w:val="18"/>
                <w:szCs w:val="18"/>
                <w:lang w:bidi="ar"/>
              </w:rPr>
            </w:pPr>
            <w:r>
              <w:rPr>
                <w:rFonts w:ascii="Times New Roman" w:hAnsi="Times New Roman" w:cs="Times New Roman" w:hint="eastAsia"/>
                <w:bCs/>
                <w:sz w:val="18"/>
                <w:szCs w:val="18"/>
                <w:lang w:bidi="ar"/>
              </w:rPr>
              <w:t>平均值</w:t>
            </w:r>
          </w:p>
        </w:tc>
        <w:tc>
          <w:tcPr>
            <w:tcW w:w="10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19D01" w14:textId="77777777" w:rsidR="00BD3166" w:rsidRDefault="00BD3166">
            <w:pPr>
              <w:jc w:val="right"/>
              <w:rPr>
                <w:rFonts w:ascii="Times New Roman" w:hAnsi="Times New Roman" w:cs="Times New Roman"/>
                <w:sz w:val="18"/>
                <w:szCs w:val="18"/>
                <w:lang w:bidi="ar"/>
              </w:rPr>
            </w:pP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0EFCE" w14:textId="77777777" w:rsidR="00BD3166" w:rsidRDefault="00BD3166">
            <w:pPr>
              <w:jc w:val="right"/>
              <w:rPr>
                <w:rFonts w:ascii="Times New Roman" w:hAnsi="Times New Roman" w:cs="Times New Roman"/>
                <w:sz w:val="18"/>
                <w:szCs w:val="18"/>
                <w:lang w:bidi="ar"/>
              </w:rPr>
            </w:pPr>
          </w:p>
        </w:tc>
        <w:tc>
          <w:tcPr>
            <w:tcW w:w="9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C6D67" w14:textId="77777777" w:rsidR="00BD3166" w:rsidRDefault="00C64679">
            <w:pPr>
              <w:widowControl/>
              <w:jc w:val="right"/>
              <w:textAlignment w:val="center"/>
              <w:rPr>
                <w:rFonts w:ascii="Times New Roman" w:hAnsi="Times New Roman" w:cs="Times New Roman"/>
                <w:sz w:val="18"/>
                <w:szCs w:val="18"/>
                <w:lang w:bidi="ar"/>
              </w:rPr>
            </w:pPr>
            <w:r>
              <w:rPr>
                <w:rFonts w:ascii="Times New Roman" w:eastAsia="Arial Narrow" w:hAnsi="Times New Roman" w:cs="Times New Roman"/>
                <w:color w:val="000000"/>
                <w:kern w:val="0"/>
                <w:sz w:val="18"/>
                <w:szCs w:val="18"/>
                <w:lang w:bidi="ar"/>
              </w:rPr>
              <w:t xml:space="preserve"> 40.83 </w:t>
            </w:r>
          </w:p>
        </w:tc>
      </w:tr>
    </w:tbl>
    <w:p w14:paraId="2550D4E1" w14:textId="77777777" w:rsidR="00BD3166" w:rsidRDefault="00C64679">
      <w:pPr>
        <w:pStyle w:val="zw"/>
        <w:snapToGrid w:val="0"/>
        <w:rPr>
          <w:rFonts w:ascii="Times New Roman" w:eastAsia="宋体" w:hAnsi="Times New Roman" w:cs="Times New Roman"/>
        </w:rPr>
      </w:pPr>
      <w:r>
        <w:rPr>
          <w:rFonts w:ascii="Times New Roman" w:eastAsia="宋体" w:hAnsi="Times New Roman" w:cs="Times New Roman" w:hint="eastAsia"/>
        </w:rPr>
        <w:t>经分析以上四家可比上市公司的修正后市盈率</w:t>
      </w:r>
      <w:r>
        <w:rPr>
          <w:rFonts w:ascii="Times New Roman" w:eastAsia="宋体" w:hAnsi="Times New Roman" w:cs="Times New Roman" w:hint="eastAsia"/>
        </w:rPr>
        <w:t>PE</w:t>
      </w:r>
      <w:r>
        <w:rPr>
          <w:rFonts w:ascii="Times New Roman" w:eastAsia="宋体" w:hAnsi="Times New Roman" w:cs="Times New Roman" w:hint="eastAsia"/>
        </w:rPr>
        <w:t>的平均值</w:t>
      </w:r>
      <w:r>
        <w:rPr>
          <w:rFonts w:ascii="Times New Roman" w:eastAsia="宋体" w:hAnsi="Times New Roman" w:cs="Times New Roman"/>
        </w:rPr>
        <w:t xml:space="preserve"> 40.83</w:t>
      </w:r>
      <w:r>
        <w:rPr>
          <w:rFonts w:ascii="Times New Roman" w:eastAsia="宋体" w:hAnsi="Times New Roman" w:cs="Times New Roman" w:hint="eastAsia"/>
        </w:rPr>
        <w:t>倍作为被评估单位的市盈率</w:t>
      </w:r>
      <w:r>
        <w:rPr>
          <w:rFonts w:ascii="Times New Roman" w:eastAsia="宋体" w:hAnsi="Times New Roman" w:cs="Times New Roman" w:hint="eastAsia"/>
        </w:rPr>
        <w:t>PE</w:t>
      </w:r>
      <w:r>
        <w:rPr>
          <w:rFonts w:ascii="Times New Roman" w:eastAsia="宋体" w:hAnsi="Times New Roman" w:cs="Times New Roman" w:hint="eastAsia"/>
        </w:rPr>
        <w:t>。</w:t>
      </w:r>
    </w:p>
    <w:p w14:paraId="29038C23" w14:textId="77777777" w:rsidR="00BD3166" w:rsidRDefault="00C64679">
      <w:pPr>
        <w:pStyle w:val="zw"/>
        <w:snapToGrid w:val="0"/>
        <w:ind w:firstLineChars="200" w:firstLine="480"/>
        <w:rPr>
          <w:rFonts w:ascii="Times New Roman" w:eastAsia="宋体" w:hAnsi="Times New Roman" w:cs="Times New Roman"/>
          <w:b/>
          <w:bCs/>
        </w:rPr>
      </w:pPr>
      <w:r>
        <w:rPr>
          <w:rFonts w:ascii="Times New Roman" w:eastAsia="宋体" w:hAnsi="Times New Roman" w:cs="Times New Roman" w:hint="eastAsia"/>
        </w:rPr>
        <w:t>6</w:t>
      </w:r>
      <w:r>
        <w:rPr>
          <w:rFonts w:ascii="Times New Roman" w:eastAsia="宋体" w:hAnsi="Times New Roman" w:cs="Times New Roman" w:hint="eastAsia"/>
        </w:rPr>
        <w:t>、公司净利润的确定</w:t>
      </w:r>
    </w:p>
    <w:p w14:paraId="0823F0BC" w14:textId="77777777" w:rsidR="00BD3166" w:rsidRDefault="00C64679">
      <w:pPr>
        <w:pStyle w:val="zw"/>
        <w:snapToGrid w:val="0"/>
        <w:rPr>
          <w:rFonts w:ascii="Times New Roman" w:eastAsia="宋体" w:hAnsi="Times New Roman" w:cs="Times New Roman"/>
        </w:rPr>
      </w:pPr>
      <w:r>
        <w:rPr>
          <w:rFonts w:ascii="Times New Roman" w:eastAsia="宋体" w:hAnsi="Times New Roman" w:cs="Times New Roman" w:hint="eastAsia"/>
        </w:rPr>
        <w:t>标的公司</w:t>
      </w:r>
      <w:r>
        <w:rPr>
          <w:rFonts w:ascii="Times New Roman" w:eastAsia="宋体" w:hAnsi="Times New Roman" w:cs="Times New Roman"/>
        </w:rPr>
        <w:t>2020</w:t>
      </w:r>
      <w:r>
        <w:rPr>
          <w:rFonts w:ascii="Times New Roman" w:eastAsia="宋体" w:hAnsi="Times New Roman" w:cs="Times New Roman"/>
        </w:rPr>
        <w:t>年度报表利润总额为</w:t>
      </w:r>
      <w:r>
        <w:rPr>
          <w:rFonts w:ascii="Times New Roman" w:eastAsia="宋体" w:hAnsi="Times New Roman" w:cs="Times New Roman"/>
        </w:rPr>
        <w:t>-434.63</w:t>
      </w:r>
      <w:r>
        <w:rPr>
          <w:rFonts w:ascii="Times New Roman" w:eastAsia="宋体" w:hAnsi="Times New Roman" w:cs="Times New Roman"/>
        </w:rPr>
        <w:t>万元，报表净利润为</w:t>
      </w:r>
      <w:r>
        <w:rPr>
          <w:rFonts w:ascii="Times New Roman" w:eastAsia="宋体" w:hAnsi="Times New Roman" w:cs="Times New Roman"/>
        </w:rPr>
        <w:t>-1,529.93</w:t>
      </w:r>
      <w:r>
        <w:rPr>
          <w:rFonts w:ascii="Times New Roman" w:eastAsia="宋体" w:hAnsi="Times New Roman" w:cs="Times New Roman"/>
        </w:rPr>
        <w:t>万元。</w:t>
      </w:r>
      <w:r>
        <w:rPr>
          <w:rFonts w:ascii="Times New Roman" w:eastAsia="宋体" w:hAnsi="Times New Roman" w:cs="Times New Roman"/>
        </w:rPr>
        <w:t>2020</w:t>
      </w:r>
      <w:r>
        <w:rPr>
          <w:rFonts w:ascii="Times New Roman" w:eastAsia="宋体" w:hAnsi="Times New Roman" w:cs="Times New Roman"/>
        </w:rPr>
        <w:t>年度审计后数据较以往同期历史年度财务数据差距较大。</w:t>
      </w:r>
      <w:r>
        <w:rPr>
          <w:rFonts w:ascii="Times New Roman" w:eastAsia="宋体" w:hAnsi="Times New Roman" w:cs="Times New Roman"/>
        </w:rPr>
        <w:t xml:space="preserve"> </w:t>
      </w:r>
    </w:p>
    <w:p w14:paraId="65D723DA" w14:textId="77777777" w:rsidR="00BD3166" w:rsidRDefault="00C64679">
      <w:pPr>
        <w:pStyle w:val="zw"/>
        <w:snapToGrid w:val="0"/>
        <w:ind w:firstLineChars="200" w:firstLine="480"/>
        <w:rPr>
          <w:rFonts w:ascii="Times New Roman" w:hAnsi="Times New Roman" w:cs="Times New Roman"/>
        </w:rPr>
      </w:pPr>
      <w:r>
        <w:rPr>
          <w:rFonts w:ascii="Times New Roman" w:eastAsia="宋体" w:hAnsi="Times New Roman" w:cs="Times New Roman"/>
        </w:rPr>
        <w:t>主要原因是标的公司年底根据北京证监局</w:t>
      </w:r>
      <w:r>
        <w:rPr>
          <w:rFonts w:ascii="Times New Roman" w:eastAsia="宋体" w:hAnsi="Times New Roman" w:cs="Times New Roman"/>
        </w:rPr>
        <w:t>2021-021</w:t>
      </w:r>
      <w:r>
        <w:rPr>
          <w:rFonts w:ascii="Times New Roman" w:eastAsia="宋体" w:hAnsi="Times New Roman" w:cs="Times New Roman"/>
        </w:rPr>
        <w:t>《行政监管措施决定书》进行财务整改的公告，基于谨慎性原则和实际情况，对北京实利通和科技发展有限公司调整为冲回毛利确认营业外支出</w:t>
      </w:r>
      <w:r>
        <w:rPr>
          <w:rFonts w:ascii="Times New Roman" w:eastAsia="宋体" w:hAnsi="Times New Roman" w:cs="Times New Roman"/>
        </w:rPr>
        <w:t>2,254.17</w:t>
      </w:r>
      <w:r>
        <w:rPr>
          <w:rFonts w:ascii="Times New Roman" w:eastAsia="宋体" w:hAnsi="Times New Roman" w:cs="Times New Roman"/>
        </w:rPr>
        <w:t>万元，补提剩余坏账</w:t>
      </w:r>
      <w:r>
        <w:rPr>
          <w:rFonts w:ascii="Times New Roman" w:eastAsia="宋体" w:hAnsi="Times New Roman" w:cs="Times New Roman"/>
        </w:rPr>
        <w:t>3,555.98</w:t>
      </w:r>
      <w:r>
        <w:rPr>
          <w:rFonts w:ascii="Times New Roman" w:eastAsia="宋体" w:hAnsi="Times New Roman" w:cs="Times New Roman"/>
        </w:rPr>
        <w:t>万元，总计影响利润总额</w:t>
      </w:r>
      <w:r>
        <w:rPr>
          <w:rFonts w:ascii="Times New Roman" w:eastAsia="宋体" w:hAnsi="Times New Roman" w:cs="Times New Roman"/>
        </w:rPr>
        <w:t>5,810.15</w:t>
      </w:r>
      <w:r>
        <w:rPr>
          <w:rFonts w:ascii="Times New Roman" w:eastAsia="宋体" w:hAnsi="Times New Roman" w:cs="Times New Roman"/>
        </w:rPr>
        <w:t>万元。</w:t>
      </w:r>
    </w:p>
    <w:p w14:paraId="09874DF2" w14:textId="77777777" w:rsidR="00BD3166" w:rsidRDefault="00C64679">
      <w:pPr>
        <w:pStyle w:val="zw"/>
        <w:snapToGrid w:val="0"/>
        <w:ind w:firstLineChars="200" w:firstLine="480"/>
        <w:rPr>
          <w:rFonts w:ascii="Times New Roman" w:eastAsia="微软雅黑" w:hAnsi="Times New Roman" w:cs="Times New Roman"/>
          <w:b/>
          <w:bCs/>
        </w:rPr>
      </w:pPr>
      <w:r>
        <w:rPr>
          <w:rFonts w:ascii="Times New Roman" w:eastAsia="宋体" w:hAnsi="Times New Roman" w:cs="Times New Roman"/>
        </w:rPr>
        <w:t>由于北京实利通和科技发展有限公司事项为公司以前年度开展业务所形成的债权和损益潜在影响因素，非当期公司正常经营的实际结果体现，公司当期的业务模式、经营范围等均未发生本质变化。扣除此历史业务影响，公司实际利润总额为</w:t>
      </w:r>
      <w:r>
        <w:rPr>
          <w:rFonts w:ascii="Times New Roman" w:eastAsia="宋体" w:hAnsi="Times New Roman" w:cs="Times New Roman"/>
        </w:rPr>
        <w:t>5,375.53</w:t>
      </w:r>
      <w:r>
        <w:rPr>
          <w:rFonts w:ascii="Times New Roman" w:eastAsia="宋体" w:hAnsi="Times New Roman" w:cs="Times New Roman"/>
        </w:rPr>
        <w:t>万元，净利润为</w:t>
      </w:r>
      <w:r>
        <w:rPr>
          <w:rFonts w:ascii="Times New Roman" w:eastAsia="宋体" w:hAnsi="Times New Roman" w:cs="Times New Roman"/>
        </w:rPr>
        <w:t>4,280.22</w:t>
      </w:r>
      <w:r>
        <w:rPr>
          <w:rFonts w:ascii="Times New Roman" w:eastAsia="宋体" w:hAnsi="Times New Roman" w:cs="Times New Roman"/>
        </w:rPr>
        <w:t>万元。</w:t>
      </w:r>
    </w:p>
    <w:p w14:paraId="26C5F809" w14:textId="77777777" w:rsidR="00BD3166" w:rsidRDefault="00C64679">
      <w:pPr>
        <w:pStyle w:val="zw"/>
        <w:snapToGrid w:val="0"/>
        <w:ind w:firstLineChars="200" w:firstLine="480"/>
        <w:rPr>
          <w:rFonts w:ascii="Times New Roman" w:eastAsia="宋体" w:hAnsi="Times New Roman" w:cs="Times New Roman"/>
          <w:b/>
          <w:bCs/>
        </w:rPr>
      </w:pPr>
      <w:r>
        <w:rPr>
          <w:rFonts w:ascii="Times New Roman" w:eastAsia="微软雅黑" w:hAnsi="Times New Roman" w:cs="Times New Roman" w:hint="eastAsia"/>
        </w:rPr>
        <w:t>7</w:t>
      </w:r>
      <w:r>
        <w:rPr>
          <w:rFonts w:ascii="Times New Roman" w:eastAsia="微软雅黑" w:hAnsi="Times New Roman" w:cs="Times New Roman" w:hint="eastAsia"/>
        </w:rPr>
        <w:t>、</w:t>
      </w:r>
      <w:r>
        <w:rPr>
          <w:rFonts w:ascii="Times New Roman" w:eastAsia="宋体" w:hAnsi="Times New Roman" w:cs="Times New Roman" w:hint="eastAsia"/>
        </w:rPr>
        <w:t>确定流动性折扣</w:t>
      </w:r>
    </w:p>
    <w:p w14:paraId="13C930D0" w14:textId="77777777" w:rsidR="00BD3166" w:rsidRDefault="00C64679">
      <w:pPr>
        <w:pStyle w:val="zw"/>
        <w:snapToGrid w:val="0"/>
        <w:rPr>
          <w:rFonts w:eastAsia="宋体" w:cs="Arial Narrow"/>
        </w:rPr>
      </w:pPr>
      <w:r>
        <w:rPr>
          <w:rFonts w:eastAsia="宋体" w:cs="Arial Narrow" w:hint="eastAsia"/>
        </w:rPr>
        <w:lastRenderedPageBreak/>
        <w:t>缺乏市场流动性折扣是企业价值评估中需要经常考虑的一项重要参数。这是</w:t>
      </w:r>
      <w:r>
        <w:rPr>
          <w:rFonts w:eastAsia="宋体" w:cs="Arial Narrow"/>
        </w:rPr>
        <w:t>由于上市公司比较法采用上市公司的股票市场上正常交易价格计算股权市值，因此这个</w:t>
      </w:r>
      <w:r>
        <w:rPr>
          <w:rFonts w:eastAsia="宋体" w:cs="Arial Narrow"/>
        </w:rPr>
        <w:t>“</w:t>
      </w:r>
      <w:r>
        <w:rPr>
          <w:rFonts w:eastAsia="宋体" w:cs="Arial Narrow"/>
        </w:rPr>
        <w:t>市值</w:t>
      </w:r>
      <w:r>
        <w:rPr>
          <w:rFonts w:eastAsia="宋体" w:cs="Arial Narrow"/>
        </w:rPr>
        <w:t>”</w:t>
      </w:r>
      <w:r>
        <w:rPr>
          <w:rFonts w:eastAsia="宋体" w:cs="Arial Narrow"/>
        </w:rPr>
        <w:t>应该是代表流动性的价值</w:t>
      </w:r>
      <w:r>
        <w:rPr>
          <w:rFonts w:eastAsia="宋体" w:cs="Arial Narrow" w:hint="eastAsia"/>
        </w:rPr>
        <w:t>，</w:t>
      </w:r>
      <w:r>
        <w:rPr>
          <w:rFonts w:eastAsia="宋体" w:cs="Arial Narrow"/>
        </w:rPr>
        <w:t>而被评估公司股份尚未在资本市场上市流通，其股权在流动性上较上市公司弱，故应考虑流动性折扣。</w:t>
      </w:r>
    </w:p>
    <w:p w14:paraId="2862503D" w14:textId="77777777" w:rsidR="00BD3166" w:rsidRDefault="00C64679">
      <w:pPr>
        <w:pStyle w:val="zw"/>
        <w:snapToGrid w:val="0"/>
        <w:rPr>
          <w:rFonts w:eastAsia="宋体" w:cs="Arial Narrow"/>
        </w:rPr>
      </w:pPr>
      <w:r>
        <w:rPr>
          <w:rFonts w:eastAsia="宋体" w:cs="Arial Narrow"/>
        </w:rPr>
        <w:t>国际上对流动性溢价</w:t>
      </w:r>
      <w:r>
        <w:rPr>
          <w:rFonts w:eastAsia="宋体" w:cs="Arial Narrow"/>
        </w:rPr>
        <w:t>/</w:t>
      </w:r>
      <w:r>
        <w:rPr>
          <w:rFonts w:eastAsia="宋体" w:cs="Arial Narrow"/>
        </w:rPr>
        <w:t>缺少</w:t>
      </w:r>
      <w:r>
        <w:rPr>
          <w:rFonts w:eastAsia="宋体" w:cs="Arial Narrow" w:hint="eastAsia"/>
        </w:rPr>
        <w:t>流动性</w:t>
      </w:r>
      <w:r>
        <w:rPr>
          <w:rFonts w:eastAsia="宋体" w:cs="Arial Narrow"/>
        </w:rPr>
        <w:t>折扣的研究主要通过以下三个途径：</w:t>
      </w:r>
    </w:p>
    <w:p w14:paraId="5EAD023C" w14:textId="77777777" w:rsidR="00BD3166" w:rsidRDefault="00C64679">
      <w:pPr>
        <w:pStyle w:val="zw"/>
        <w:snapToGrid w:val="0"/>
        <w:rPr>
          <w:rFonts w:eastAsia="宋体" w:cs="Arial Narrow"/>
        </w:rPr>
      </w:pPr>
      <w:r>
        <w:rPr>
          <w:rFonts w:eastAsia="宋体" w:cs="Arial Narrow"/>
        </w:rPr>
        <w:fldChar w:fldCharType="begin"/>
      </w:r>
      <w:r>
        <w:rPr>
          <w:rFonts w:eastAsia="宋体" w:cs="Arial Narrow"/>
        </w:rPr>
        <w:instrText xml:space="preserve"> = 1 \* roman \* MERGEFORMAT </w:instrText>
      </w:r>
      <w:r>
        <w:rPr>
          <w:rFonts w:eastAsia="宋体" w:cs="Arial Narrow"/>
        </w:rPr>
        <w:fldChar w:fldCharType="separate"/>
      </w:r>
      <w:r>
        <w:rPr>
          <w:rFonts w:eastAsia="宋体" w:cs="Arial Narrow"/>
        </w:rPr>
        <w:t>i</w:t>
      </w:r>
      <w:r>
        <w:rPr>
          <w:rFonts w:eastAsia="宋体" w:cs="Arial Narrow"/>
        </w:rPr>
        <w:fldChar w:fldCharType="end"/>
      </w:r>
      <w:r>
        <w:rPr>
          <w:rFonts w:eastAsia="宋体" w:cs="Arial Narrow" w:hint="eastAsia"/>
        </w:rPr>
        <w:t>.</w:t>
      </w:r>
      <w:r>
        <w:rPr>
          <w:rFonts w:eastAsia="宋体" w:cs="Arial Narrow"/>
        </w:rPr>
        <w:t>限制股票交易研究</w:t>
      </w:r>
      <w:r>
        <w:rPr>
          <w:rFonts w:eastAsia="宋体" w:cs="Arial Narrow"/>
        </w:rPr>
        <w:t>(Restricted</w:t>
      </w:r>
      <w:r>
        <w:rPr>
          <w:rFonts w:eastAsia="宋体" w:cs="Arial Narrow" w:hint="eastAsia"/>
        </w:rPr>
        <w:t xml:space="preserve"> </w:t>
      </w:r>
      <w:r>
        <w:rPr>
          <w:rFonts w:eastAsia="宋体" w:cs="Arial Narrow"/>
        </w:rPr>
        <w:t>Stock</w:t>
      </w:r>
      <w:r>
        <w:rPr>
          <w:rFonts w:eastAsia="宋体" w:cs="Arial Narrow" w:hint="eastAsia"/>
        </w:rPr>
        <w:t xml:space="preserve"> </w:t>
      </w:r>
      <w:r>
        <w:rPr>
          <w:rFonts w:eastAsia="宋体" w:cs="Arial Narrow"/>
        </w:rPr>
        <w:t>Studies)</w:t>
      </w:r>
    </w:p>
    <w:p w14:paraId="2E3B9BFA" w14:textId="77777777" w:rsidR="00BD3166" w:rsidRDefault="00C64679">
      <w:pPr>
        <w:pStyle w:val="zw"/>
        <w:snapToGrid w:val="0"/>
        <w:rPr>
          <w:rFonts w:eastAsia="宋体" w:cs="Arial Narrow"/>
        </w:rPr>
      </w:pPr>
      <w:r>
        <w:rPr>
          <w:rFonts w:eastAsia="宋体" w:cs="Arial Narrow"/>
        </w:rPr>
        <w:t>该类研究的思路是通过研究销售存在限制性的股票的交易价与同一公司销售没有限制的公司股票的交易价之间的差异来估算缺少流动性折扣；</w:t>
      </w:r>
    </w:p>
    <w:p w14:paraId="3FDB9A0A" w14:textId="77777777" w:rsidR="00BD3166" w:rsidRDefault="00C64679">
      <w:pPr>
        <w:pStyle w:val="zw"/>
        <w:snapToGrid w:val="0"/>
        <w:rPr>
          <w:rFonts w:eastAsia="宋体" w:cs="Arial Narrow"/>
        </w:rPr>
      </w:pPr>
      <w:r>
        <w:rPr>
          <w:rFonts w:eastAsia="宋体" w:cs="Arial Narrow"/>
        </w:rPr>
        <w:fldChar w:fldCharType="begin"/>
      </w:r>
      <w:r>
        <w:rPr>
          <w:rFonts w:eastAsia="宋体" w:cs="Arial Narrow"/>
        </w:rPr>
        <w:instrText xml:space="preserve"> = 2 \* roman \* MERGEFORMAT </w:instrText>
      </w:r>
      <w:r>
        <w:rPr>
          <w:rFonts w:eastAsia="宋体" w:cs="Arial Narrow"/>
        </w:rPr>
        <w:fldChar w:fldCharType="separate"/>
      </w:r>
      <w:r>
        <w:rPr>
          <w:rFonts w:eastAsia="宋体" w:cs="Arial Narrow"/>
        </w:rPr>
        <w:t>ii</w:t>
      </w:r>
      <w:r>
        <w:rPr>
          <w:rFonts w:eastAsia="宋体" w:cs="Arial Narrow"/>
        </w:rPr>
        <w:fldChar w:fldCharType="end"/>
      </w:r>
      <w:r>
        <w:rPr>
          <w:rFonts w:eastAsia="宋体" w:cs="Arial Narrow" w:hint="eastAsia"/>
        </w:rPr>
        <w:t>.</w:t>
      </w:r>
      <w:r>
        <w:rPr>
          <w:rFonts w:eastAsia="宋体" w:cs="Arial Narrow"/>
        </w:rPr>
        <w:t>IPO</w:t>
      </w:r>
      <w:r>
        <w:rPr>
          <w:rFonts w:eastAsia="宋体" w:cs="Arial Narrow"/>
        </w:rPr>
        <w:t>前研究</w:t>
      </w:r>
      <w:r>
        <w:rPr>
          <w:rFonts w:eastAsia="宋体" w:cs="Arial Narrow"/>
        </w:rPr>
        <w:t>(Pre-IPO</w:t>
      </w:r>
      <w:r>
        <w:rPr>
          <w:rFonts w:eastAsia="宋体" w:cs="Arial Narrow" w:hint="eastAsia"/>
        </w:rPr>
        <w:t xml:space="preserve"> </w:t>
      </w:r>
      <w:r>
        <w:rPr>
          <w:rFonts w:eastAsia="宋体" w:cs="Arial Narrow"/>
        </w:rPr>
        <w:t>Studies)</w:t>
      </w:r>
    </w:p>
    <w:p w14:paraId="66B151C4" w14:textId="77777777" w:rsidR="00BD3166" w:rsidRDefault="00C64679">
      <w:pPr>
        <w:pStyle w:val="zw"/>
        <w:snapToGrid w:val="0"/>
        <w:rPr>
          <w:rFonts w:ascii="宋体" w:eastAsia="宋体" w:hAnsi="宋体"/>
          <w:szCs w:val="24"/>
        </w:rPr>
      </w:pPr>
      <w:r>
        <w:rPr>
          <w:rFonts w:eastAsia="宋体" w:cs="Arial Narrow"/>
        </w:rPr>
        <w:t>该类研究的思路是通过公司</w:t>
      </w:r>
      <w:r>
        <w:rPr>
          <w:rFonts w:eastAsia="宋体" w:cs="Arial Narrow"/>
        </w:rPr>
        <w:t>IPO</w:t>
      </w:r>
      <w:r>
        <w:rPr>
          <w:rFonts w:eastAsia="宋体" w:cs="Arial Narrow"/>
        </w:rPr>
        <w:t>前股权交易价格与后续上市后股票交易价格对比来研</w:t>
      </w:r>
      <w:r>
        <w:rPr>
          <w:rFonts w:ascii="宋体" w:eastAsia="宋体" w:hAnsi="宋体"/>
          <w:szCs w:val="24"/>
        </w:rPr>
        <w:t>究缺少流动性折扣；</w:t>
      </w:r>
    </w:p>
    <w:p w14:paraId="3B9AA7C4" w14:textId="77777777" w:rsidR="00BD3166" w:rsidRDefault="00C64679">
      <w:pPr>
        <w:pStyle w:val="zw"/>
        <w:snapToGrid w:val="0"/>
        <w:rPr>
          <w:rFonts w:eastAsia="宋体" w:cs="Arial Narrow"/>
        </w:rPr>
      </w:pPr>
      <w:r>
        <w:rPr>
          <w:rFonts w:eastAsia="宋体" w:cs="Arial Narrow"/>
        </w:rPr>
        <w:fldChar w:fldCharType="begin"/>
      </w:r>
      <w:r>
        <w:rPr>
          <w:rFonts w:eastAsia="宋体" w:cs="Arial Narrow"/>
        </w:rPr>
        <w:instrText xml:space="preserve"> = 3 \* roman \* MERGEFORMAT </w:instrText>
      </w:r>
      <w:r>
        <w:rPr>
          <w:rFonts w:eastAsia="宋体" w:cs="Arial Narrow"/>
        </w:rPr>
        <w:fldChar w:fldCharType="separate"/>
      </w:r>
      <w:r>
        <w:rPr>
          <w:rFonts w:eastAsia="宋体" w:cs="Arial Narrow"/>
        </w:rPr>
        <w:t>iii</w:t>
      </w:r>
      <w:r>
        <w:rPr>
          <w:rFonts w:eastAsia="宋体" w:cs="Arial Narrow"/>
        </w:rPr>
        <w:fldChar w:fldCharType="end"/>
      </w:r>
      <w:r>
        <w:rPr>
          <w:rFonts w:eastAsia="宋体" w:cs="Arial Narrow" w:hint="eastAsia"/>
        </w:rPr>
        <w:t>.</w:t>
      </w:r>
      <w:r>
        <w:rPr>
          <w:rFonts w:eastAsia="宋体" w:cs="Arial Narrow"/>
        </w:rPr>
        <w:t>金融衍生定价方式研究</w:t>
      </w:r>
    </w:p>
    <w:p w14:paraId="3722E2B2" w14:textId="77777777" w:rsidR="00BD3166" w:rsidRDefault="00C64679">
      <w:pPr>
        <w:pStyle w:val="zw"/>
        <w:snapToGrid w:val="0"/>
        <w:rPr>
          <w:rFonts w:eastAsia="宋体" w:cs="Arial Narrow"/>
        </w:rPr>
      </w:pPr>
      <w:r>
        <w:rPr>
          <w:rFonts w:eastAsia="宋体" w:cs="Arial Narrow"/>
        </w:rPr>
        <w:t>该类研究是采用股票对冲期权的方式研究缺少流动折扣；</w:t>
      </w:r>
    </w:p>
    <w:p w14:paraId="505F8DFF" w14:textId="77777777" w:rsidR="00BD3166" w:rsidRDefault="00C64679">
      <w:pPr>
        <w:pStyle w:val="zw"/>
        <w:snapToGrid w:val="0"/>
        <w:rPr>
          <w:rFonts w:eastAsia="宋体" w:cs="Arial Narrow"/>
        </w:rPr>
      </w:pPr>
      <w:r>
        <w:rPr>
          <w:rFonts w:eastAsia="宋体" w:cs="Arial Narrow"/>
        </w:rPr>
        <w:t>国内估算缺少流动性折扣的研究主要从以下几个方面进行：</w:t>
      </w:r>
    </w:p>
    <w:p w14:paraId="7CD7467A" w14:textId="77777777" w:rsidR="00BD3166" w:rsidRDefault="00C64679">
      <w:pPr>
        <w:pStyle w:val="zw"/>
        <w:snapToGrid w:val="0"/>
        <w:rPr>
          <w:rFonts w:eastAsia="宋体" w:cs="Arial Narrow"/>
        </w:rPr>
      </w:pPr>
      <w:r>
        <w:rPr>
          <w:rFonts w:eastAsia="宋体" w:cs="Arial Narrow" w:hint="eastAsia"/>
        </w:rPr>
        <w:t>（</w:t>
      </w:r>
      <w:r>
        <w:rPr>
          <w:rFonts w:eastAsia="宋体" w:cs="Arial Narrow" w:hint="eastAsia"/>
        </w:rPr>
        <w:t>1</w:t>
      </w:r>
      <w:r>
        <w:rPr>
          <w:rFonts w:eastAsia="宋体" w:cs="Arial Narrow" w:hint="eastAsia"/>
        </w:rPr>
        <w:t>）法人股交易价格研究；</w:t>
      </w:r>
    </w:p>
    <w:p w14:paraId="69B7A42A" w14:textId="77777777" w:rsidR="00BD3166" w:rsidRDefault="00C64679">
      <w:pPr>
        <w:pStyle w:val="zw"/>
        <w:snapToGrid w:val="0"/>
        <w:rPr>
          <w:rFonts w:eastAsia="宋体" w:cs="Arial Narrow"/>
        </w:rPr>
      </w:pPr>
      <w:r>
        <w:rPr>
          <w:rFonts w:eastAsia="宋体" w:cs="Arial Narrow" w:hint="eastAsia"/>
        </w:rPr>
        <w:t>（</w:t>
      </w:r>
      <w:r>
        <w:rPr>
          <w:rFonts w:eastAsia="宋体" w:cs="Arial Narrow" w:hint="eastAsia"/>
        </w:rPr>
        <w:t>2</w:t>
      </w:r>
      <w:r>
        <w:rPr>
          <w:rFonts w:eastAsia="宋体" w:cs="Arial Narrow" w:hint="eastAsia"/>
        </w:rPr>
        <w:t>）股权分置改革支付对价研究；</w:t>
      </w:r>
    </w:p>
    <w:p w14:paraId="4521C430" w14:textId="77777777" w:rsidR="00BD3166" w:rsidRDefault="00C64679">
      <w:pPr>
        <w:pStyle w:val="zw"/>
        <w:snapToGrid w:val="0"/>
        <w:rPr>
          <w:rFonts w:eastAsia="宋体" w:cs="Arial Narrow"/>
        </w:rPr>
      </w:pPr>
      <w:r>
        <w:rPr>
          <w:rFonts w:eastAsia="宋体" w:cs="Arial Narrow" w:hint="eastAsia"/>
        </w:rPr>
        <w:t>（</w:t>
      </w:r>
      <w:r>
        <w:rPr>
          <w:rFonts w:eastAsia="宋体" w:cs="Arial Narrow" w:hint="eastAsia"/>
        </w:rPr>
        <w:t>3</w:t>
      </w:r>
      <w:r>
        <w:rPr>
          <w:rFonts w:eastAsia="宋体" w:cs="Arial Narrow" w:hint="eastAsia"/>
        </w:rPr>
        <w:t>）新股发行价格研究。</w:t>
      </w:r>
    </w:p>
    <w:p w14:paraId="3B70329D" w14:textId="77777777" w:rsidR="00BD3166" w:rsidRDefault="00C64679">
      <w:pPr>
        <w:pStyle w:val="zw"/>
        <w:snapToGrid w:val="0"/>
        <w:rPr>
          <w:rFonts w:eastAsia="宋体" w:cs="Arial Narrow"/>
        </w:rPr>
      </w:pPr>
      <w:r>
        <w:rPr>
          <w:rFonts w:eastAsia="宋体" w:cs="Arial Narrow" w:hint="eastAsia"/>
        </w:rPr>
        <w:t>所谓新股发行定价就是研究国内上市公司新股</w:t>
      </w:r>
      <w:r>
        <w:rPr>
          <w:rFonts w:eastAsia="宋体" w:cs="Arial Narrow" w:hint="eastAsia"/>
        </w:rPr>
        <w:t>IPO</w:t>
      </w:r>
      <w:r>
        <w:rPr>
          <w:rFonts w:eastAsia="宋体" w:cs="Arial Narrow" w:hint="eastAsia"/>
        </w:rPr>
        <w:t>的发行定价与该股票正式上市后的交易价格之间的差异来研究缺少流动性折扣的方式。新股发行的价格一般都要低于新股上市交易的价格，它不是一个股票市场的交易价，但是一个公平交易价。该研究可以通过研究新股发行价与上市后的交易价之间的差异来定量研究缺少流动性折扣。当新股上市后这种有效的交易市场机制就形成了，因此可以认为在这两种情况下价值的差异就是由于有和没有形成有效市场交易机制的因素造成的。</w:t>
      </w:r>
    </w:p>
    <w:p w14:paraId="5A528E52" w14:textId="77777777" w:rsidR="00BD3166" w:rsidRDefault="00C64679">
      <w:pPr>
        <w:pStyle w:val="zw"/>
        <w:snapToGrid w:val="0"/>
        <w:rPr>
          <w:rFonts w:eastAsia="宋体" w:cs="Arial Narrow"/>
        </w:rPr>
      </w:pPr>
      <w:r>
        <w:rPr>
          <w:rFonts w:eastAsia="宋体" w:cs="Arial Narrow" w:hint="eastAsia"/>
        </w:rPr>
        <w:t>（</w:t>
      </w:r>
      <w:r>
        <w:rPr>
          <w:rFonts w:eastAsia="宋体" w:cs="Arial Narrow" w:hint="eastAsia"/>
        </w:rPr>
        <w:t>4</w:t>
      </w:r>
      <w:r>
        <w:rPr>
          <w:rFonts w:eastAsia="宋体" w:cs="Arial Narrow" w:hint="eastAsia"/>
        </w:rPr>
        <w:t>）采用非上市公司并购市盈率与上市公司市盈率差异研究缺少流动折扣率；</w:t>
      </w:r>
    </w:p>
    <w:p w14:paraId="2C2ABF19" w14:textId="77777777" w:rsidR="00BD3166" w:rsidRDefault="00C64679">
      <w:pPr>
        <w:pStyle w:val="zw"/>
        <w:snapToGrid w:val="0"/>
        <w:rPr>
          <w:rFonts w:eastAsia="宋体" w:cs="Arial Narrow"/>
        </w:rPr>
      </w:pPr>
      <w:r>
        <w:rPr>
          <w:rFonts w:eastAsia="宋体" w:cs="Arial Narrow" w:hint="eastAsia"/>
        </w:rPr>
        <w:t>这里所谓的缺少市场流动性折扣，其涵义是相对于流动性较强的资产，流动性较弱的资产与之存在价格差异，这个差异可以认为主要是缺少流通因素造成的，故需在价值中扣除一定比例的折扣，以反映市场流动性的缺失。</w:t>
      </w:r>
    </w:p>
    <w:p w14:paraId="7EF1FDB7" w14:textId="77777777" w:rsidR="00BD3166" w:rsidRDefault="00C64679">
      <w:pPr>
        <w:pStyle w:val="zw"/>
        <w:snapToGrid w:val="0"/>
        <w:rPr>
          <w:rFonts w:eastAsia="宋体" w:cs="Arial Narrow"/>
        </w:rPr>
      </w:pPr>
      <w:r>
        <w:rPr>
          <w:rFonts w:eastAsia="宋体" w:cs="Arial Narrow" w:hint="eastAsia"/>
        </w:rPr>
        <w:t>这种方法建立在非上市公司并购市盈率与上市公司市盈率对比基础之上，基</w:t>
      </w:r>
      <w:r>
        <w:rPr>
          <w:rFonts w:eastAsia="宋体" w:cs="Arial Narrow" w:hint="eastAsia"/>
        </w:rPr>
        <w:lastRenderedPageBreak/>
        <w:t>本思路是收集分析非上市公司并购案例的市盈率（</w:t>
      </w:r>
      <w:r>
        <w:rPr>
          <w:rFonts w:eastAsia="宋体" w:cs="Arial Narrow" w:hint="eastAsia"/>
        </w:rPr>
        <w:t>P/E</w:t>
      </w:r>
      <w:r>
        <w:rPr>
          <w:rFonts w:eastAsia="宋体" w:cs="Arial Narrow" w:hint="eastAsia"/>
        </w:rPr>
        <w:t>），与同期的上市公司市盈率（</w:t>
      </w:r>
      <w:r>
        <w:rPr>
          <w:rFonts w:eastAsia="宋体" w:cs="Arial Narrow" w:hint="eastAsia"/>
        </w:rPr>
        <w:t>P/E</w:t>
      </w:r>
      <w:r>
        <w:rPr>
          <w:rFonts w:eastAsia="宋体" w:cs="Arial Narrow" w:hint="eastAsia"/>
        </w:rPr>
        <w:t>）进行对比分析，通过市盈率的差异来估算缺少流动性折扣。</w:t>
      </w:r>
    </w:p>
    <w:p w14:paraId="249F5B4E" w14:textId="77777777" w:rsidR="00BD3166" w:rsidRDefault="00C64679">
      <w:pPr>
        <w:pStyle w:val="zw"/>
        <w:snapToGrid w:val="0"/>
        <w:rPr>
          <w:rFonts w:eastAsia="宋体" w:cs="Arial Narrow"/>
        </w:rPr>
      </w:pPr>
      <w:r>
        <w:rPr>
          <w:rFonts w:eastAsia="宋体" w:cs="Arial Narrow" w:hint="eastAsia"/>
        </w:rPr>
        <w:t>本次采用业内以非上市公司并购市盈率与上市公司市盈率对比方式计算得出的流动性折扣率表，具体参见下表。</w:t>
      </w:r>
    </w:p>
    <w:p w14:paraId="107E82B3" w14:textId="77777777" w:rsidR="00BD3166" w:rsidRDefault="00C64679">
      <w:pPr>
        <w:spacing w:line="360" w:lineRule="auto"/>
        <w:ind w:firstLineChars="200" w:firstLine="480"/>
        <w:jc w:val="center"/>
        <w:rPr>
          <w:rFonts w:ascii="Times New Roman" w:hAnsi="Times New Roman" w:cs="Times New Roman"/>
          <w:sz w:val="24"/>
        </w:rPr>
      </w:pPr>
      <w:r>
        <w:rPr>
          <w:rFonts w:ascii="Arial Narrow" w:hAnsi="Arial Narrow"/>
          <w:sz w:val="24"/>
        </w:rPr>
        <w:t>缺少流动性</w:t>
      </w:r>
      <w:proofErr w:type="gramStart"/>
      <w:r>
        <w:rPr>
          <w:rFonts w:ascii="Arial Narrow" w:hAnsi="Arial Narrow"/>
          <w:sz w:val="24"/>
        </w:rPr>
        <w:t>折扣率</w:t>
      </w:r>
      <w:r>
        <w:rPr>
          <w:rFonts w:ascii="Times New Roman" w:hAnsi="Times New Roman" w:cs="Times New Roman" w:hint="eastAsia"/>
          <w:sz w:val="24"/>
        </w:rPr>
        <w:t>表</w:t>
      </w:r>
      <w:proofErr w:type="gramEnd"/>
      <w:r>
        <w:rPr>
          <w:rFonts w:ascii="Times New Roman" w:hAnsi="Times New Roman" w:cs="Times New Roman" w:hint="eastAsia"/>
          <w:sz w:val="24"/>
        </w:rPr>
        <w:t>20</w:t>
      </w:r>
      <w:r>
        <w:rPr>
          <w:rFonts w:ascii="Times New Roman" w:hAnsi="Times New Roman" w:cs="Times New Roman"/>
          <w:sz w:val="24"/>
        </w:rPr>
        <w:t>20(</w:t>
      </w:r>
      <w:r>
        <w:rPr>
          <w:rFonts w:ascii="Times New Roman" w:hAnsi="Times New Roman" w:cs="Times New Roman" w:hint="eastAsia"/>
          <w:sz w:val="24"/>
        </w:rPr>
        <w:t>节选</w:t>
      </w:r>
      <w:r>
        <w:rPr>
          <w:rFonts w:ascii="Times New Roman" w:hAnsi="Times New Roman" w:cs="Times New Roman"/>
          <w:sz w:val="24"/>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1214"/>
        <w:gridCol w:w="1243"/>
        <w:gridCol w:w="1137"/>
        <w:gridCol w:w="1134"/>
        <w:gridCol w:w="1276"/>
      </w:tblGrid>
      <w:tr w:rsidR="00BD3166" w14:paraId="58B45F4D" w14:textId="77777777">
        <w:trPr>
          <w:trHeight w:val="270"/>
          <w:jc w:val="center"/>
        </w:trPr>
        <w:tc>
          <w:tcPr>
            <w:tcW w:w="2638" w:type="dxa"/>
            <w:vMerge w:val="restart"/>
            <w:vAlign w:val="center"/>
          </w:tcPr>
          <w:p w14:paraId="6068CBD1" w14:textId="77777777" w:rsidR="00BD3166" w:rsidRDefault="00C64679">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行业名称</w:t>
            </w:r>
          </w:p>
        </w:tc>
        <w:tc>
          <w:tcPr>
            <w:tcW w:w="2457" w:type="dxa"/>
            <w:gridSpan w:val="2"/>
            <w:vAlign w:val="center"/>
          </w:tcPr>
          <w:p w14:paraId="2F5FF302" w14:textId="77777777" w:rsidR="00BD3166" w:rsidRDefault="00C64679">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非上市公司并购</w:t>
            </w:r>
          </w:p>
        </w:tc>
        <w:tc>
          <w:tcPr>
            <w:tcW w:w="2271" w:type="dxa"/>
            <w:gridSpan w:val="2"/>
            <w:vAlign w:val="center"/>
          </w:tcPr>
          <w:p w14:paraId="0EFA64A7" w14:textId="77777777" w:rsidR="00BD3166" w:rsidRDefault="00C64679">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上市公司</w:t>
            </w:r>
          </w:p>
        </w:tc>
        <w:tc>
          <w:tcPr>
            <w:tcW w:w="1276" w:type="dxa"/>
            <w:vMerge w:val="restart"/>
            <w:vAlign w:val="center"/>
          </w:tcPr>
          <w:p w14:paraId="36F414BD" w14:textId="77777777" w:rsidR="00BD3166" w:rsidRDefault="00C64679">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缺少流通</w:t>
            </w:r>
          </w:p>
          <w:p w14:paraId="4CCC67BB" w14:textId="77777777" w:rsidR="00BD3166" w:rsidRDefault="00C64679">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折扣率</w:t>
            </w:r>
          </w:p>
        </w:tc>
      </w:tr>
      <w:tr w:rsidR="00BD3166" w14:paraId="3B15AB82" w14:textId="77777777">
        <w:trPr>
          <w:trHeight w:val="255"/>
          <w:jc w:val="center"/>
        </w:trPr>
        <w:tc>
          <w:tcPr>
            <w:tcW w:w="2638" w:type="dxa"/>
            <w:vMerge/>
            <w:vAlign w:val="center"/>
          </w:tcPr>
          <w:p w14:paraId="1AB8FC2B" w14:textId="77777777" w:rsidR="00BD3166" w:rsidRDefault="00BD3166">
            <w:pPr>
              <w:widowControl/>
              <w:jc w:val="left"/>
              <w:rPr>
                <w:rFonts w:ascii="Times New Roman" w:hAnsi="Times New Roman" w:cs="Times New Roman"/>
                <w:kern w:val="0"/>
                <w:sz w:val="18"/>
                <w:szCs w:val="18"/>
              </w:rPr>
            </w:pPr>
          </w:p>
        </w:tc>
        <w:tc>
          <w:tcPr>
            <w:tcW w:w="1214" w:type="dxa"/>
            <w:vAlign w:val="center"/>
          </w:tcPr>
          <w:p w14:paraId="45AEC660" w14:textId="77777777" w:rsidR="00BD3166" w:rsidRDefault="00C64679">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样本点数量</w:t>
            </w:r>
          </w:p>
        </w:tc>
        <w:tc>
          <w:tcPr>
            <w:tcW w:w="1243" w:type="dxa"/>
            <w:vAlign w:val="center"/>
          </w:tcPr>
          <w:p w14:paraId="5CFD3906" w14:textId="77777777" w:rsidR="00BD3166" w:rsidRDefault="00C64679">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市盈率</w:t>
            </w:r>
          </w:p>
          <w:p w14:paraId="79818773" w14:textId="77777777" w:rsidR="00BD3166" w:rsidRDefault="00C64679">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平均值</w:t>
            </w:r>
          </w:p>
        </w:tc>
        <w:tc>
          <w:tcPr>
            <w:tcW w:w="1137" w:type="dxa"/>
            <w:vAlign w:val="center"/>
          </w:tcPr>
          <w:p w14:paraId="793632AC" w14:textId="77777777" w:rsidR="00BD3166" w:rsidRDefault="00C64679">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样本点数量</w:t>
            </w:r>
          </w:p>
        </w:tc>
        <w:tc>
          <w:tcPr>
            <w:tcW w:w="1134" w:type="dxa"/>
            <w:vAlign w:val="center"/>
          </w:tcPr>
          <w:p w14:paraId="2F42DFE7" w14:textId="77777777" w:rsidR="00BD3166" w:rsidRDefault="00C64679">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市盈率</w:t>
            </w:r>
          </w:p>
          <w:p w14:paraId="33947EA8" w14:textId="77777777" w:rsidR="00BD3166" w:rsidRDefault="00C64679">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平均值</w:t>
            </w:r>
          </w:p>
        </w:tc>
        <w:tc>
          <w:tcPr>
            <w:tcW w:w="1276" w:type="dxa"/>
            <w:vMerge/>
            <w:vAlign w:val="center"/>
          </w:tcPr>
          <w:p w14:paraId="62CBAF6C" w14:textId="77777777" w:rsidR="00BD3166" w:rsidRDefault="00BD3166">
            <w:pPr>
              <w:widowControl/>
              <w:jc w:val="left"/>
              <w:rPr>
                <w:rFonts w:ascii="Times New Roman" w:hAnsi="Times New Roman" w:cs="Times New Roman"/>
                <w:kern w:val="0"/>
                <w:sz w:val="18"/>
                <w:szCs w:val="18"/>
              </w:rPr>
            </w:pPr>
          </w:p>
        </w:tc>
      </w:tr>
      <w:tr w:rsidR="00BD3166" w14:paraId="58FCFE1F" w14:textId="77777777">
        <w:trPr>
          <w:trHeight w:val="255"/>
          <w:jc w:val="center"/>
        </w:trPr>
        <w:tc>
          <w:tcPr>
            <w:tcW w:w="2638" w:type="dxa"/>
            <w:noWrap/>
            <w:vAlign w:val="center"/>
          </w:tcPr>
          <w:p w14:paraId="49617BEF" w14:textId="77777777" w:rsidR="00BD3166" w:rsidRDefault="00C64679">
            <w:pPr>
              <w:widowControl/>
              <w:jc w:val="left"/>
              <w:rPr>
                <w:rFonts w:ascii="Times New Roman" w:hAnsi="Times New Roman" w:cs="Times New Roman"/>
                <w:kern w:val="0"/>
                <w:sz w:val="18"/>
                <w:szCs w:val="18"/>
              </w:rPr>
            </w:pPr>
            <w:r>
              <w:rPr>
                <w:rFonts w:ascii="Times New Roman" w:hAnsi="Times New Roman" w:cs="Times New Roman" w:hint="eastAsia"/>
                <w:kern w:val="0"/>
                <w:sz w:val="18"/>
                <w:szCs w:val="18"/>
              </w:rPr>
              <w:t>软件和信息技术服务业</w:t>
            </w:r>
          </w:p>
        </w:tc>
        <w:tc>
          <w:tcPr>
            <w:tcW w:w="1214" w:type="dxa"/>
            <w:noWrap/>
            <w:vAlign w:val="center"/>
          </w:tcPr>
          <w:p w14:paraId="3BDC5445"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65</w:t>
            </w:r>
          </w:p>
        </w:tc>
        <w:tc>
          <w:tcPr>
            <w:tcW w:w="1243" w:type="dxa"/>
            <w:noWrap/>
            <w:vAlign w:val="center"/>
          </w:tcPr>
          <w:p w14:paraId="0E99A9BF"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38.49</w:t>
            </w:r>
          </w:p>
        </w:tc>
        <w:tc>
          <w:tcPr>
            <w:tcW w:w="1137" w:type="dxa"/>
            <w:noWrap/>
            <w:vAlign w:val="center"/>
          </w:tcPr>
          <w:p w14:paraId="3811AD39"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178</w:t>
            </w:r>
          </w:p>
        </w:tc>
        <w:tc>
          <w:tcPr>
            <w:tcW w:w="1134" w:type="dxa"/>
            <w:noWrap/>
            <w:vAlign w:val="center"/>
          </w:tcPr>
          <w:p w14:paraId="192F3D53"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54.38</w:t>
            </w:r>
          </w:p>
        </w:tc>
        <w:tc>
          <w:tcPr>
            <w:tcW w:w="1276" w:type="dxa"/>
            <w:noWrap/>
            <w:vAlign w:val="center"/>
          </w:tcPr>
          <w:p w14:paraId="445055EB"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kern w:val="0"/>
                <w:sz w:val="18"/>
                <w:szCs w:val="18"/>
              </w:rPr>
              <w:t>29.22%</w:t>
            </w:r>
          </w:p>
        </w:tc>
      </w:tr>
      <w:tr w:rsidR="00BD3166" w14:paraId="152B1C9D" w14:textId="77777777">
        <w:trPr>
          <w:trHeight w:val="255"/>
          <w:jc w:val="center"/>
        </w:trPr>
        <w:tc>
          <w:tcPr>
            <w:tcW w:w="2638" w:type="dxa"/>
            <w:noWrap/>
            <w:vAlign w:val="center"/>
          </w:tcPr>
          <w:p w14:paraId="7CADDEB9" w14:textId="77777777" w:rsidR="00BD3166" w:rsidRDefault="00C64679">
            <w:pPr>
              <w:widowControl/>
              <w:jc w:val="left"/>
              <w:rPr>
                <w:rFonts w:ascii="Times New Roman" w:hAnsi="Times New Roman" w:cs="Times New Roman"/>
                <w:kern w:val="0"/>
                <w:sz w:val="18"/>
                <w:szCs w:val="18"/>
              </w:rPr>
            </w:pPr>
            <w:r>
              <w:rPr>
                <w:rFonts w:ascii="Times New Roman" w:hAnsi="Times New Roman" w:cs="Times New Roman" w:hint="eastAsia"/>
                <w:kern w:val="0"/>
                <w:sz w:val="18"/>
                <w:szCs w:val="18"/>
              </w:rPr>
              <w:t>电气机械和器材制造业</w:t>
            </w:r>
            <w:r>
              <w:rPr>
                <w:rFonts w:ascii="Times New Roman" w:hAnsi="Times New Roman" w:cs="Times New Roman" w:hint="eastAsia"/>
                <w:kern w:val="0"/>
                <w:sz w:val="18"/>
                <w:szCs w:val="18"/>
              </w:rPr>
              <w:t xml:space="preserve"> </w:t>
            </w:r>
          </w:p>
        </w:tc>
        <w:tc>
          <w:tcPr>
            <w:tcW w:w="1214" w:type="dxa"/>
            <w:noWrap/>
            <w:vAlign w:val="center"/>
          </w:tcPr>
          <w:p w14:paraId="35465BE4"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32</w:t>
            </w:r>
          </w:p>
        </w:tc>
        <w:tc>
          <w:tcPr>
            <w:tcW w:w="1243" w:type="dxa"/>
            <w:noWrap/>
            <w:vAlign w:val="center"/>
          </w:tcPr>
          <w:p w14:paraId="673FF6E5"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27.58</w:t>
            </w:r>
          </w:p>
        </w:tc>
        <w:tc>
          <w:tcPr>
            <w:tcW w:w="1137" w:type="dxa"/>
            <w:noWrap/>
            <w:vAlign w:val="center"/>
          </w:tcPr>
          <w:p w14:paraId="1BEF8A75"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234</w:t>
            </w:r>
          </w:p>
        </w:tc>
        <w:tc>
          <w:tcPr>
            <w:tcW w:w="1134" w:type="dxa"/>
            <w:noWrap/>
            <w:vAlign w:val="center"/>
          </w:tcPr>
          <w:p w14:paraId="4F9F671F"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36.74</w:t>
            </w:r>
          </w:p>
        </w:tc>
        <w:tc>
          <w:tcPr>
            <w:tcW w:w="1276" w:type="dxa"/>
            <w:noWrap/>
            <w:vAlign w:val="center"/>
          </w:tcPr>
          <w:p w14:paraId="3143E814" w14:textId="77777777" w:rsidR="00BD3166" w:rsidRDefault="00C64679">
            <w:pPr>
              <w:jc w:val="right"/>
              <w:rPr>
                <w:rFonts w:ascii="Times New Roman" w:hAnsi="Times New Roman" w:cs="Times New Roman"/>
                <w:sz w:val="18"/>
                <w:szCs w:val="18"/>
              </w:rPr>
            </w:pPr>
            <w:r>
              <w:rPr>
                <w:rFonts w:ascii="Times New Roman" w:hAnsi="Times New Roman" w:cs="Times New Roman"/>
                <w:kern w:val="0"/>
                <w:sz w:val="18"/>
                <w:szCs w:val="18"/>
              </w:rPr>
              <w:t>24.93%</w:t>
            </w:r>
          </w:p>
        </w:tc>
      </w:tr>
      <w:tr w:rsidR="00BD3166" w14:paraId="2E8A71FA" w14:textId="77777777">
        <w:trPr>
          <w:trHeight w:val="255"/>
          <w:jc w:val="center"/>
        </w:trPr>
        <w:tc>
          <w:tcPr>
            <w:tcW w:w="2638" w:type="dxa"/>
            <w:noWrap/>
            <w:vAlign w:val="center"/>
          </w:tcPr>
          <w:p w14:paraId="31F5623E" w14:textId="77777777" w:rsidR="00BD3166" w:rsidRDefault="00C64679">
            <w:pPr>
              <w:widowControl/>
              <w:jc w:val="left"/>
              <w:rPr>
                <w:rFonts w:ascii="Times New Roman" w:hAnsi="Times New Roman" w:cs="Times New Roman"/>
                <w:kern w:val="0"/>
                <w:sz w:val="18"/>
                <w:szCs w:val="18"/>
              </w:rPr>
            </w:pPr>
            <w:r>
              <w:rPr>
                <w:rFonts w:ascii="Times New Roman" w:hAnsi="Times New Roman" w:cs="Times New Roman"/>
                <w:kern w:val="0"/>
                <w:sz w:val="18"/>
                <w:szCs w:val="18"/>
              </w:rPr>
              <w:t>……</w:t>
            </w:r>
          </w:p>
        </w:tc>
        <w:tc>
          <w:tcPr>
            <w:tcW w:w="1214" w:type="dxa"/>
            <w:noWrap/>
            <w:vAlign w:val="center"/>
          </w:tcPr>
          <w:p w14:paraId="2DC6A8A2" w14:textId="77777777" w:rsidR="00BD3166" w:rsidRDefault="00BD3166">
            <w:pPr>
              <w:widowControl/>
              <w:jc w:val="right"/>
              <w:rPr>
                <w:rFonts w:ascii="Times New Roman" w:hAnsi="Times New Roman" w:cs="Times New Roman"/>
                <w:kern w:val="0"/>
                <w:sz w:val="18"/>
                <w:szCs w:val="18"/>
              </w:rPr>
            </w:pPr>
          </w:p>
        </w:tc>
        <w:tc>
          <w:tcPr>
            <w:tcW w:w="1243" w:type="dxa"/>
            <w:noWrap/>
            <w:vAlign w:val="center"/>
          </w:tcPr>
          <w:p w14:paraId="39402CF6" w14:textId="77777777" w:rsidR="00BD3166" w:rsidRDefault="00BD3166">
            <w:pPr>
              <w:widowControl/>
              <w:jc w:val="right"/>
              <w:rPr>
                <w:rFonts w:ascii="Times New Roman" w:hAnsi="Times New Roman" w:cs="Times New Roman"/>
                <w:kern w:val="0"/>
                <w:sz w:val="18"/>
                <w:szCs w:val="18"/>
              </w:rPr>
            </w:pPr>
          </w:p>
        </w:tc>
        <w:tc>
          <w:tcPr>
            <w:tcW w:w="1137" w:type="dxa"/>
            <w:noWrap/>
            <w:vAlign w:val="center"/>
          </w:tcPr>
          <w:p w14:paraId="6E09B899" w14:textId="77777777" w:rsidR="00BD3166" w:rsidRDefault="00BD3166">
            <w:pPr>
              <w:widowControl/>
              <w:jc w:val="right"/>
              <w:rPr>
                <w:rFonts w:ascii="Times New Roman" w:hAnsi="Times New Roman" w:cs="Times New Roman"/>
                <w:kern w:val="0"/>
                <w:sz w:val="18"/>
                <w:szCs w:val="18"/>
              </w:rPr>
            </w:pPr>
          </w:p>
        </w:tc>
        <w:tc>
          <w:tcPr>
            <w:tcW w:w="1134" w:type="dxa"/>
            <w:noWrap/>
            <w:vAlign w:val="center"/>
          </w:tcPr>
          <w:p w14:paraId="05FBC09E" w14:textId="77777777" w:rsidR="00BD3166" w:rsidRDefault="00BD3166">
            <w:pPr>
              <w:widowControl/>
              <w:jc w:val="right"/>
              <w:rPr>
                <w:rFonts w:ascii="Times New Roman" w:hAnsi="Times New Roman" w:cs="Times New Roman"/>
                <w:kern w:val="0"/>
                <w:sz w:val="18"/>
                <w:szCs w:val="18"/>
              </w:rPr>
            </w:pPr>
          </w:p>
        </w:tc>
        <w:tc>
          <w:tcPr>
            <w:tcW w:w="1276" w:type="dxa"/>
            <w:noWrap/>
            <w:vAlign w:val="center"/>
          </w:tcPr>
          <w:p w14:paraId="26192AC4" w14:textId="77777777" w:rsidR="00BD3166" w:rsidRDefault="00BD3166">
            <w:pPr>
              <w:jc w:val="right"/>
              <w:rPr>
                <w:rFonts w:ascii="Times New Roman" w:hAnsi="Times New Roman" w:cs="Times New Roman"/>
                <w:sz w:val="18"/>
                <w:szCs w:val="18"/>
              </w:rPr>
            </w:pPr>
          </w:p>
        </w:tc>
      </w:tr>
      <w:tr w:rsidR="00BD3166" w14:paraId="73CCEB0B" w14:textId="77777777">
        <w:trPr>
          <w:trHeight w:val="270"/>
          <w:jc w:val="center"/>
        </w:trPr>
        <w:tc>
          <w:tcPr>
            <w:tcW w:w="2638" w:type="dxa"/>
            <w:noWrap/>
            <w:vAlign w:val="center"/>
          </w:tcPr>
          <w:p w14:paraId="10435652" w14:textId="77777777" w:rsidR="00BD3166" w:rsidRDefault="00C64679">
            <w:pPr>
              <w:widowControl/>
              <w:jc w:val="left"/>
              <w:rPr>
                <w:rFonts w:ascii="Times New Roman" w:hAnsi="Times New Roman" w:cs="Times New Roman"/>
                <w:kern w:val="0"/>
                <w:sz w:val="18"/>
                <w:szCs w:val="18"/>
              </w:rPr>
            </w:pPr>
            <w:r>
              <w:rPr>
                <w:rFonts w:ascii="Times New Roman" w:hAnsi="Times New Roman" w:cs="Times New Roman" w:hint="eastAsia"/>
                <w:kern w:val="0"/>
                <w:sz w:val="18"/>
                <w:szCs w:val="18"/>
              </w:rPr>
              <w:t>合计</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平均值</w:t>
            </w:r>
          </w:p>
        </w:tc>
        <w:tc>
          <w:tcPr>
            <w:tcW w:w="1214" w:type="dxa"/>
            <w:noWrap/>
            <w:vAlign w:val="center"/>
          </w:tcPr>
          <w:p w14:paraId="02533ABF"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 xml:space="preserve">755 </w:t>
            </w:r>
          </w:p>
        </w:tc>
        <w:tc>
          <w:tcPr>
            <w:tcW w:w="1243" w:type="dxa"/>
            <w:noWrap/>
            <w:vAlign w:val="center"/>
          </w:tcPr>
          <w:p w14:paraId="4E015248"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 xml:space="preserve">21.55 </w:t>
            </w:r>
          </w:p>
        </w:tc>
        <w:tc>
          <w:tcPr>
            <w:tcW w:w="1137" w:type="dxa"/>
            <w:noWrap/>
            <w:vAlign w:val="center"/>
          </w:tcPr>
          <w:p w14:paraId="23BE6409"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 xml:space="preserve">3136 </w:t>
            </w:r>
          </w:p>
        </w:tc>
        <w:tc>
          <w:tcPr>
            <w:tcW w:w="1134" w:type="dxa"/>
            <w:noWrap/>
            <w:vAlign w:val="center"/>
          </w:tcPr>
          <w:p w14:paraId="5A106983"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 xml:space="preserve">29.83 </w:t>
            </w:r>
          </w:p>
        </w:tc>
        <w:tc>
          <w:tcPr>
            <w:tcW w:w="1276" w:type="dxa"/>
            <w:noWrap/>
            <w:vAlign w:val="center"/>
          </w:tcPr>
          <w:p w14:paraId="42ACA1ED" w14:textId="77777777" w:rsidR="00BD3166" w:rsidRDefault="00C64679">
            <w:pPr>
              <w:widowControl/>
              <w:jc w:val="right"/>
              <w:rPr>
                <w:rFonts w:ascii="Times New Roman" w:hAnsi="Times New Roman" w:cs="Times New Roman"/>
                <w:kern w:val="0"/>
                <w:sz w:val="18"/>
                <w:szCs w:val="18"/>
              </w:rPr>
            </w:pPr>
            <w:r>
              <w:rPr>
                <w:rFonts w:ascii="Times New Roman" w:hAnsi="Times New Roman" w:cs="Times New Roman"/>
                <w:color w:val="000000"/>
                <w:kern w:val="0"/>
                <w:sz w:val="18"/>
                <w:szCs w:val="18"/>
              </w:rPr>
              <w:t>27.36%</w:t>
            </w:r>
          </w:p>
        </w:tc>
      </w:tr>
    </w:tbl>
    <w:p w14:paraId="1761FF0F" w14:textId="77777777" w:rsidR="00BD3166" w:rsidRDefault="00C64679">
      <w:pPr>
        <w:spacing w:line="360" w:lineRule="auto"/>
        <w:ind w:firstLineChars="200" w:firstLine="480"/>
        <w:rPr>
          <w:rFonts w:ascii="宋体" w:eastAsia="宋体" w:hAnsi="宋体"/>
          <w:sz w:val="24"/>
          <w:szCs w:val="28"/>
        </w:rPr>
      </w:pPr>
      <w:r>
        <w:rPr>
          <w:rFonts w:ascii="宋体" w:eastAsia="宋体" w:hAnsi="宋体" w:hint="eastAsia"/>
          <w:sz w:val="24"/>
          <w:szCs w:val="28"/>
        </w:rPr>
        <w:t>大唐微电子技术有限公司从事软件和信息技术服务业，本次评估选取缺少流动性折扣率的取值为</w:t>
      </w:r>
      <w:r>
        <w:rPr>
          <w:rFonts w:ascii="Times New Roman" w:eastAsia="宋体" w:hAnsi="Times New Roman" w:cs="Times New Roman"/>
          <w:sz w:val="24"/>
          <w:szCs w:val="28"/>
        </w:rPr>
        <w:t>29.22%</w:t>
      </w:r>
      <w:r>
        <w:rPr>
          <w:rFonts w:ascii="Times New Roman" w:eastAsia="宋体" w:hAnsi="Times New Roman" w:cs="Times New Roman"/>
          <w:sz w:val="24"/>
          <w:szCs w:val="28"/>
        </w:rPr>
        <w:t>。</w:t>
      </w:r>
    </w:p>
    <w:p w14:paraId="258291E1" w14:textId="77777777" w:rsidR="00BD3166" w:rsidRDefault="00C64679">
      <w:pPr>
        <w:spacing w:line="360" w:lineRule="auto"/>
        <w:ind w:firstLineChars="200" w:firstLine="480"/>
        <w:rPr>
          <w:rFonts w:ascii="宋体" w:eastAsia="宋体" w:hAnsi="宋体"/>
          <w:sz w:val="24"/>
          <w:szCs w:val="28"/>
        </w:rPr>
      </w:pPr>
      <w:r>
        <w:rPr>
          <w:rFonts w:ascii="宋体" w:eastAsia="宋体" w:hAnsi="宋体" w:hint="eastAsia"/>
          <w:sz w:val="24"/>
          <w:szCs w:val="28"/>
        </w:rPr>
        <w:t>8、市场法评估结果</w:t>
      </w:r>
    </w:p>
    <w:p w14:paraId="1D233DC1" w14:textId="77777777" w:rsidR="00BD3166" w:rsidRDefault="00C64679">
      <w:pPr>
        <w:spacing w:line="360" w:lineRule="auto"/>
        <w:ind w:firstLineChars="200" w:firstLine="480"/>
        <w:rPr>
          <w:rFonts w:ascii="宋体" w:eastAsia="宋体" w:hAnsi="宋体"/>
          <w:sz w:val="24"/>
          <w:szCs w:val="28"/>
        </w:rPr>
      </w:pPr>
      <w:bookmarkStart w:id="22" w:name="_Hlk487204581"/>
      <w:r>
        <w:rPr>
          <w:rFonts w:ascii="宋体" w:eastAsia="宋体" w:hAnsi="宋体" w:hint="eastAsia"/>
          <w:sz w:val="24"/>
          <w:szCs w:val="28"/>
        </w:rPr>
        <w:t xml:space="preserve">根据上述各过程所得到的评估参数，可以得出归属于母公司股东全部权益评估结果： </w:t>
      </w:r>
    </w:p>
    <w:p w14:paraId="6C04E6DC" w14:textId="77777777" w:rsidR="00BD3166" w:rsidRDefault="00C64679">
      <w:pPr>
        <w:spacing w:line="360" w:lineRule="auto"/>
        <w:ind w:firstLineChars="200" w:firstLine="480"/>
        <w:rPr>
          <w:rFonts w:ascii="宋体" w:eastAsia="宋体" w:hAnsi="宋体"/>
          <w:sz w:val="24"/>
          <w:szCs w:val="28"/>
        </w:rPr>
      </w:pPr>
      <w:r>
        <w:rPr>
          <w:rFonts w:ascii="宋体" w:eastAsia="宋体" w:hAnsi="宋体" w:hint="eastAsia"/>
          <w:sz w:val="24"/>
          <w:szCs w:val="28"/>
        </w:rPr>
        <w:t>大唐微电子股东全部权益评估值＝</w:t>
      </w:r>
      <w:proofErr w:type="gramStart"/>
      <w:r>
        <w:rPr>
          <w:rFonts w:ascii="宋体" w:eastAsia="宋体" w:hAnsi="宋体" w:hint="eastAsia"/>
          <w:sz w:val="24"/>
          <w:szCs w:val="28"/>
        </w:rPr>
        <w:t>基准日净利润</w:t>
      </w:r>
      <w:proofErr w:type="gramEnd"/>
      <w:r>
        <w:rPr>
          <w:rFonts w:ascii="宋体" w:eastAsia="宋体" w:hAnsi="宋体" w:hint="eastAsia"/>
          <w:sz w:val="24"/>
          <w:szCs w:val="28"/>
        </w:rPr>
        <w:t xml:space="preserve">×修正PE×(1-流动性折扣) </w:t>
      </w:r>
    </w:p>
    <w:p w14:paraId="13196648" w14:textId="77777777" w:rsidR="00BD3166" w:rsidRDefault="00C64679">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w:t>
      </w:r>
      <w:r>
        <w:rPr>
          <w:rFonts w:ascii="Times New Roman" w:eastAsia="宋体" w:hAnsi="Times New Roman" w:cs="Times New Roman"/>
          <w:sz w:val="24"/>
          <w:szCs w:val="28"/>
        </w:rPr>
        <w:t>4,280.22×40.83×(1-29.22%)</w:t>
      </w:r>
    </w:p>
    <w:p w14:paraId="5075A269" w14:textId="77777777" w:rsidR="00BD3166" w:rsidRDefault="00C64679">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w:t>
      </w:r>
      <w:r>
        <w:rPr>
          <w:rFonts w:ascii="Times New Roman" w:eastAsia="宋体" w:hAnsi="Times New Roman" w:cs="Times New Roman"/>
          <w:sz w:val="24"/>
          <w:szCs w:val="28"/>
        </w:rPr>
        <w:t>123,695.46(</w:t>
      </w:r>
      <w:r>
        <w:rPr>
          <w:rFonts w:ascii="Times New Roman" w:eastAsia="宋体" w:hAnsi="Times New Roman" w:cs="Times New Roman"/>
          <w:sz w:val="24"/>
          <w:szCs w:val="28"/>
        </w:rPr>
        <w:t>万元</w:t>
      </w:r>
      <w:r>
        <w:rPr>
          <w:rFonts w:ascii="Times New Roman" w:eastAsia="宋体" w:hAnsi="Times New Roman" w:cs="Times New Roman"/>
          <w:sz w:val="24"/>
          <w:szCs w:val="28"/>
        </w:rPr>
        <w:t>)</w:t>
      </w:r>
      <w:bookmarkEnd w:id="22"/>
    </w:p>
    <w:p w14:paraId="4BE47035" w14:textId="35CB94D0" w:rsidR="00BD3166" w:rsidRDefault="00C64679">
      <w:pPr>
        <w:spacing w:line="360" w:lineRule="auto"/>
        <w:ind w:firstLineChars="200" w:firstLine="480"/>
        <w:rPr>
          <w:rFonts w:ascii="宋体" w:eastAsia="宋体" w:hAnsi="宋体"/>
          <w:sz w:val="24"/>
          <w:szCs w:val="28"/>
        </w:rPr>
      </w:pPr>
      <w:proofErr w:type="gramStart"/>
      <w:r>
        <w:rPr>
          <w:rFonts w:ascii="宋体" w:eastAsia="宋体" w:hAnsi="宋体" w:hint="eastAsia"/>
          <w:sz w:val="24"/>
          <w:szCs w:val="28"/>
        </w:rPr>
        <w:t>综</w:t>
      </w:r>
      <w:proofErr w:type="gramEnd"/>
      <w:r>
        <w:rPr>
          <w:rFonts w:ascii="宋体" w:eastAsia="宋体" w:hAnsi="宋体" w:hint="eastAsia"/>
          <w:sz w:val="24"/>
          <w:szCs w:val="28"/>
        </w:rPr>
        <w:t>以上分析和修正，评估过程合理，结果公允。</w:t>
      </w:r>
    </w:p>
    <w:p w14:paraId="15B187D5" w14:textId="77777777" w:rsidR="00BD3166" w:rsidRDefault="00C64679">
      <w:pPr>
        <w:spacing w:line="360" w:lineRule="auto"/>
        <w:ind w:firstLineChars="200" w:firstLine="482"/>
        <w:outlineLvl w:val="1"/>
        <w:rPr>
          <w:rFonts w:ascii="宋体" w:eastAsia="宋体" w:hAnsi="宋体"/>
          <w:b/>
          <w:bCs/>
          <w:sz w:val="24"/>
          <w:szCs w:val="28"/>
        </w:rPr>
      </w:pPr>
      <w:r>
        <w:rPr>
          <w:rFonts w:ascii="宋体" w:eastAsia="宋体" w:hAnsi="宋体" w:hint="eastAsia"/>
          <w:b/>
          <w:bCs/>
          <w:sz w:val="24"/>
          <w:szCs w:val="28"/>
        </w:rPr>
        <w:t>四、</w:t>
      </w:r>
      <w:r>
        <w:rPr>
          <w:rFonts w:ascii="Times New Roman" w:hAnsi="Times New Roman" w:cs="Times New Roman" w:hint="eastAsia"/>
          <w:b/>
          <w:bCs/>
          <w:sz w:val="24"/>
        </w:rPr>
        <w:t>本次增资未采用收益法评估，但在退出安排中设定具体业绩条件的原因及合理性，结合本次增资对价及标的</w:t>
      </w:r>
      <w:proofErr w:type="gramStart"/>
      <w:r>
        <w:rPr>
          <w:rFonts w:ascii="Times New Roman" w:hAnsi="Times New Roman" w:cs="Times New Roman" w:hint="eastAsia"/>
          <w:b/>
          <w:bCs/>
          <w:sz w:val="24"/>
        </w:rPr>
        <w:t>公司往期业绩</w:t>
      </w:r>
      <w:proofErr w:type="gramEnd"/>
      <w:r>
        <w:rPr>
          <w:rFonts w:ascii="Times New Roman" w:hAnsi="Times New Roman" w:cs="Times New Roman" w:hint="eastAsia"/>
          <w:b/>
          <w:bCs/>
          <w:sz w:val="24"/>
        </w:rPr>
        <w:t>，说明相关业绩设置的合理性与可实现性，并充分提示相关风险</w:t>
      </w:r>
    </w:p>
    <w:p w14:paraId="56B4C367" w14:textId="77777777" w:rsidR="00BD3166" w:rsidRDefault="00C64679">
      <w:pPr>
        <w:spacing w:line="360" w:lineRule="auto"/>
        <w:ind w:firstLineChars="300" w:firstLine="723"/>
        <w:outlineLvl w:val="2"/>
        <w:rPr>
          <w:rFonts w:ascii="宋体" w:eastAsia="宋体" w:hAnsi="宋体"/>
          <w:b/>
          <w:bCs/>
          <w:sz w:val="24"/>
          <w:szCs w:val="28"/>
        </w:rPr>
      </w:pPr>
      <w:r>
        <w:rPr>
          <w:rFonts w:ascii="宋体" w:eastAsia="宋体" w:hAnsi="宋体" w:hint="eastAsia"/>
          <w:b/>
          <w:bCs/>
          <w:sz w:val="24"/>
          <w:szCs w:val="28"/>
        </w:rPr>
        <w:t>（一）</w:t>
      </w:r>
      <w:r>
        <w:rPr>
          <w:rFonts w:ascii="Times New Roman" w:hAnsi="Times New Roman" w:cs="Times New Roman"/>
          <w:b/>
          <w:bCs/>
          <w:sz w:val="24"/>
        </w:rPr>
        <w:t>本次增资未采用收益法评估，但在退出安排中设定具体业绩条件的原因及合理性</w:t>
      </w:r>
    </w:p>
    <w:p w14:paraId="6FB93C21" w14:textId="77777777" w:rsidR="00BD3166" w:rsidRDefault="00C64679">
      <w:pPr>
        <w:spacing w:line="360" w:lineRule="auto"/>
        <w:ind w:firstLineChars="200" w:firstLine="480"/>
        <w:rPr>
          <w:rFonts w:ascii="宋体" w:eastAsia="宋体" w:hAnsi="宋体"/>
          <w:sz w:val="24"/>
          <w:szCs w:val="28"/>
        </w:rPr>
      </w:pPr>
      <w:r>
        <w:rPr>
          <w:rFonts w:ascii="宋体" w:eastAsia="宋体" w:hAnsi="宋体" w:hint="eastAsia"/>
          <w:sz w:val="24"/>
          <w:szCs w:val="28"/>
        </w:rPr>
        <w:t>本次交易标的为</w:t>
      </w:r>
      <w:r>
        <w:rPr>
          <w:rFonts w:hint="eastAsia"/>
          <w:bCs/>
          <w:sz w:val="24"/>
          <w:szCs w:val="24"/>
        </w:rPr>
        <w:t>大唐电信控股的大唐半导体因本次交易减少持有的大唐微电子</w:t>
      </w:r>
      <w:r>
        <w:rPr>
          <w:rFonts w:ascii="Times New Roman" w:hAnsi="Times New Roman" w:cs="Times New Roman"/>
          <w:bCs/>
          <w:sz w:val="24"/>
          <w:szCs w:val="24"/>
        </w:rPr>
        <w:t>23.21%</w:t>
      </w:r>
      <w:r>
        <w:rPr>
          <w:rFonts w:hint="eastAsia"/>
          <w:bCs/>
          <w:sz w:val="24"/>
          <w:szCs w:val="24"/>
        </w:rPr>
        <w:t>的股权，交易对手方为国</w:t>
      </w:r>
      <w:proofErr w:type="gramStart"/>
      <w:r>
        <w:rPr>
          <w:rFonts w:hint="eastAsia"/>
          <w:bCs/>
          <w:sz w:val="24"/>
          <w:szCs w:val="24"/>
        </w:rPr>
        <w:t>新建信</w:t>
      </w:r>
      <w:proofErr w:type="gramEnd"/>
      <w:r>
        <w:rPr>
          <w:rFonts w:hint="eastAsia"/>
          <w:bCs/>
          <w:sz w:val="24"/>
          <w:szCs w:val="24"/>
        </w:rPr>
        <w:t>基金，交易双方均为国有企业。本次交易作价以</w:t>
      </w:r>
      <w:r>
        <w:rPr>
          <w:rFonts w:ascii="宋体" w:eastAsia="宋体" w:hAnsi="宋体"/>
          <w:sz w:val="24"/>
          <w:szCs w:val="28"/>
        </w:rPr>
        <w:t>经中国信息通信科技集团有限公司备案的《资产评估报告》（编号：[2021]192号）的评估结果为准</w:t>
      </w:r>
      <w:r>
        <w:rPr>
          <w:rFonts w:ascii="宋体" w:eastAsia="宋体" w:hAnsi="宋体" w:hint="eastAsia"/>
          <w:sz w:val="24"/>
          <w:szCs w:val="28"/>
        </w:rPr>
        <w:t>，满足《企业国有资产交易监督管理办法》等相关法律法规的监管规定。</w:t>
      </w:r>
    </w:p>
    <w:p w14:paraId="3044A58A" w14:textId="77777777" w:rsidR="00BD3166" w:rsidRDefault="00C64679">
      <w:pPr>
        <w:spacing w:line="360" w:lineRule="auto"/>
        <w:ind w:firstLineChars="200" w:firstLine="480"/>
        <w:rPr>
          <w:rFonts w:ascii="宋体" w:eastAsia="宋体" w:hAnsi="宋体"/>
          <w:sz w:val="24"/>
          <w:szCs w:val="28"/>
        </w:rPr>
      </w:pPr>
      <w:r>
        <w:rPr>
          <w:rFonts w:ascii="宋体" w:eastAsia="宋体" w:hAnsi="宋体" w:hint="eastAsia"/>
          <w:sz w:val="24"/>
          <w:szCs w:val="28"/>
        </w:rPr>
        <w:lastRenderedPageBreak/>
        <w:t>受国际宏观政治环境影响，近年来国内集成电路市场波动较大，导致行业历史年度收益存在一定波动，行业波动同样波及到被评估单位。此外，标的公司处于充分竞争行业，且目前开拓物联网安全应用、工业互联网等新兴市场的业务产品亦将面向充分竞争市场，经营业绩受到行业景气度、上下游、技术进步等多种因素综合影响。此外，标的公司新业务产品尚处于前期研发状态中，未来新产品的毛利率、各项费用因没有历史数据，难以预测，评估相关的国家宏观经济形势、行业政策、市场环境等方面的基本假设无法实现。因此，标的公司未来收益预测不确定性较大，未来长期利润水平目前难于判断，故本次评估未采用收益法。</w:t>
      </w:r>
    </w:p>
    <w:p w14:paraId="548F7A2B" w14:textId="77777777" w:rsidR="00BD3166" w:rsidRDefault="00C64679">
      <w:pPr>
        <w:spacing w:line="360" w:lineRule="auto"/>
        <w:ind w:firstLineChars="200" w:firstLine="480"/>
        <w:rPr>
          <w:sz w:val="24"/>
          <w:szCs w:val="24"/>
        </w:rPr>
      </w:pPr>
      <w:r>
        <w:rPr>
          <w:rFonts w:ascii="宋体" w:eastAsia="宋体" w:hAnsi="宋体" w:hint="eastAsia"/>
          <w:sz w:val="24"/>
          <w:szCs w:val="28"/>
        </w:rPr>
        <w:t>在本次交易中，为促进标的公司的健康发展，交易各方经协商后达成一致并签署合作协议，拟通过优化公司治理结构、</w:t>
      </w:r>
      <w:r>
        <w:rPr>
          <w:rFonts w:hint="eastAsia"/>
          <w:sz w:val="24"/>
        </w:rPr>
        <w:t>优化具体经营机制、</w:t>
      </w:r>
      <w:r>
        <w:rPr>
          <w:sz w:val="24"/>
        </w:rPr>
        <w:t>明确</w:t>
      </w:r>
      <w:r>
        <w:rPr>
          <w:rFonts w:hint="eastAsia"/>
          <w:sz w:val="24"/>
        </w:rPr>
        <w:t>管理层</w:t>
      </w:r>
      <w:r>
        <w:rPr>
          <w:sz w:val="24"/>
        </w:rPr>
        <w:t>责任</w:t>
      </w:r>
      <w:r>
        <w:rPr>
          <w:rFonts w:hint="eastAsia"/>
          <w:sz w:val="24"/>
        </w:rPr>
        <w:t>、股东支持、强化合</w:t>
      </w:r>
      <w:proofErr w:type="gramStart"/>
      <w:r>
        <w:rPr>
          <w:rFonts w:hint="eastAsia"/>
          <w:sz w:val="24"/>
        </w:rPr>
        <w:t>规</w:t>
      </w:r>
      <w:proofErr w:type="gramEnd"/>
      <w:r>
        <w:rPr>
          <w:rFonts w:hint="eastAsia"/>
          <w:sz w:val="24"/>
        </w:rPr>
        <w:t>经营等多种措施推动标的公司增强核心竞争力、提高盈利能力，并在增资协议退出条款中拟定业绩目标，作为标的公司后续经营目标参考。根据增资协议，</w:t>
      </w:r>
      <w:proofErr w:type="gramStart"/>
      <w:r>
        <w:rPr>
          <w:rFonts w:hint="eastAsia"/>
          <w:sz w:val="24"/>
        </w:rPr>
        <w:t>若业绩</w:t>
      </w:r>
      <w:proofErr w:type="gramEnd"/>
      <w:r>
        <w:rPr>
          <w:rFonts w:hint="eastAsia"/>
          <w:sz w:val="24"/>
        </w:rPr>
        <w:t>目标未实现，上市公司可选择</w:t>
      </w:r>
      <w:proofErr w:type="gramStart"/>
      <w:r>
        <w:rPr>
          <w:rFonts w:hint="eastAsia"/>
          <w:sz w:val="24"/>
        </w:rPr>
        <w:t>收购国新建信</w:t>
      </w:r>
      <w:proofErr w:type="gramEnd"/>
      <w:r>
        <w:rPr>
          <w:rFonts w:hint="eastAsia"/>
          <w:sz w:val="24"/>
        </w:rPr>
        <w:t>基金的增资股权，若未完成收购，国</w:t>
      </w:r>
      <w:proofErr w:type="gramStart"/>
      <w:r>
        <w:rPr>
          <w:rFonts w:hint="eastAsia"/>
          <w:sz w:val="24"/>
        </w:rPr>
        <w:t>新建信</w:t>
      </w:r>
      <w:proofErr w:type="gramEnd"/>
      <w:r>
        <w:rPr>
          <w:rFonts w:hint="eastAsia"/>
          <w:sz w:val="24"/>
        </w:rPr>
        <w:t>基金可以选择向第三方转让，也可选择行使协议约定的其他权利。因此，</w:t>
      </w:r>
      <w:proofErr w:type="gramStart"/>
      <w:r>
        <w:rPr>
          <w:rFonts w:hint="eastAsia"/>
          <w:sz w:val="24"/>
        </w:rPr>
        <w:t>该业绩</w:t>
      </w:r>
      <w:proofErr w:type="gramEnd"/>
      <w:r>
        <w:rPr>
          <w:rFonts w:hint="eastAsia"/>
          <w:sz w:val="24"/>
        </w:rPr>
        <w:t>目标作为标的公司后续经营的目标参考，需要标的公司和股东方采取多种措施共同努力实现，并非根据公司当前状态进行的盈利预测，此外，若</w:t>
      </w:r>
      <w:proofErr w:type="gramStart"/>
      <w:r>
        <w:rPr>
          <w:rFonts w:hint="eastAsia"/>
          <w:sz w:val="24"/>
        </w:rPr>
        <w:t>该业绩</w:t>
      </w:r>
      <w:proofErr w:type="gramEnd"/>
      <w:r>
        <w:rPr>
          <w:rFonts w:hint="eastAsia"/>
          <w:sz w:val="24"/>
        </w:rPr>
        <w:t>目标未能实现亦不会导致上市公司须回购该部分股权。</w:t>
      </w:r>
    </w:p>
    <w:p w14:paraId="1F4EB810" w14:textId="77777777" w:rsidR="00BD3166" w:rsidRDefault="00C64679">
      <w:pPr>
        <w:spacing w:line="360" w:lineRule="auto"/>
        <w:ind w:firstLineChars="200" w:firstLine="480"/>
        <w:rPr>
          <w:rFonts w:ascii="宋体" w:eastAsia="宋体" w:hAnsi="宋体"/>
          <w:sz w:val="24"/>
          <w:szCs w:val="28"/>
        </w:rPr>
      </w:pPr>
      <w:r>
        <w:rPr>
          <w:rFonts w:hint="eastAsia"/>
          <w:sz w:val="24"/>
          <w:szCs w:val="24"/>
        </w:rPr>
        <w:t>综上，由于未来收益预测不确定性较大，本次交易未采用收益法评估，评估报告已经中国信科集团备案，符合相关规定。本次交易中，为促进标的公司健康发展，交易各方一致同意在退出条款中拟定业绩目标作为标的公司后续经营目标参考，并签署合作协议约定将通过多种措施提高标的公司核心竞争力和盈利能力，符合交易各方作为标的公司股东的利益诉求，具有合理性。</w:t>
      </w:r>
    </w:p>
    <w:p w14:paraId="29F7FBA1" w14:textId="77777777" w:rsidR="00BD3166" w:rsidRDefault="00C64679">
      <w:pPr>
        <w:spacing w:line="360" w:lineRule="auto"/>
        <w:ind w:firstLineChars="200" w:firstLine="482"/>
        <w:outlineLvl w:val="2"/>
        <w:rPr>
          <w:rFonts w:ascii="宋体" w:eastAsia="宋体" w:hAnsi="宋体"/>
          <w:b/>
          <w:bCs/>
          <w:sz w:val="24"/>
          <w:szCs w:val="28"/>
        </w:rPr>
      </w:pPr>
      <w:r>
        <w:rPr>
          <w:rFonts w:ascii="宋体" w:eastAsia="宋体" w:hAnsi="宋体" w:hint="eastAsia"/>
          <w:b/>
          <w:bCs/>
          <w:sz w:val="24"/>
          <w:szCs w:val="28"/>
        </w:rPr>
        <w:t>（二）</w:t>
      </w:r>
      <w:r>
        <w:rPr>
          <w:rFonts w:ascii="Times New Roman" w:hAnsi="Times New Roman" w:cs="Times New Roman" w:hint="eastAsia"/>
          <w:b/>
          <w:bCs/>
          <w:sz w:val="24"/>
        </w:rPr>
        <w:t>相关业绩设置的合理性与可实现性</w:t>
      </w:r>
    </w:p>
    <w:p w14:paraId="297D23B6" w14:textId="77777777" w:rsidR="00BD3166" w:rsidRDefault="00C64679">
      <w:pPr>
        <w:spacing w:line="360" w:lineRule="auto"/>
        <w:ind w:firstLineChars="200" w:firstLine="480"/>
        <w:rPr>
          <w:sz w:val="24"/>
          <w:szCs w:val="24"/>
        </w:rPr>
      </w:pPr>
      <w:r>
        <w:rPr>
          <w:rFonts w:ascii="仿宋" w:eastAsia="仿宋" w:hAnsi="仿宋" w:cs="仿宋" w:hint="eastAsia"/>
          <w:sz w:val="24"/>
          <w:szCs w:val="24"/>
        </w:rPr>
        <w:t>①</w:t>
      </w:r>
      <w:r>
        <w:rPr>
          <w:rFonts w:hint="eastAsia"/>
          <w:sz w:val="24"/>
          <w:szCs w:val="24"/>
        </w:rPr>
        <w:t>大唐微电子的行业地位和市场竞争情况</w:t>
      </w:r>
    </w:p>
    <w:p w14:paraId="40CFB6E3" w14:textId="72D060A2" w:rsidR="00BD3166" w:rsidRDefault="00C64679">
      <w:pPr>
        <w:spacing w:line="360" w:lineRule="auto"/>
        <w:ind w:firstLineChars="200" w:firstLine="480"/>
        <w:rPr>
          <w:rFonts w:ascii="Times New Roman" w:hAnsi="Times New Roman" w:cs="Times New Roman"/>
          <w:sz w:val="24"/>
          <w:szCs w:val="24"/>
        </w:rPr>
      </w:pPr>
      <w:r>
        <w:rPr>
          <w:rFonts w:hint="eastAsia"/>
          <w:sz w:val="24"/>
          <w:szCs w:val="24"/>
        </w:rPr>
        <w:t>大唐微电子是大唐电信下属专注于集成电路设计的控股子公司，业务涵盖</w:t>
      </w:r>
      <w:bookmarkStart w:id="23" w:name="_Hlk77585610"/>
      <w:r w:rsidR="005E705E">
        <w:rPr>
          <w:rFonts w:hint="eastAsia"/>
          <w:sz w:val="24"/>
          <w:szCs w:val="24"/>
        </w:rPr>
        <w:t>安全芯片</w:t>
      </w:r>
      <w:bookmarkEnd w:id="23"/>
      <w:r>
        <w:rPr>
          <w:rFonts w:hint="eastAsia"/>
          <w:sz w:val="24"/>
          <w:szCs w:val="24"/>
        </w:rPr>
        <w:t>、融合通信芯片等方向。</w:t>
      </w:r>
      <w:r>
        <w:rPr>
          <w:rFonts w:ascii="Times New Roman" w:hAnsi="Times New Roman" w:cs="Times New Roman" w:hint="eastAsia"/>
          <w:sz w:val="24"/>
          <w:szCs w:val="24"/>
        </w:rPr>
        <w:t>大唐微电子建立了较为完善的市场体系，在国内</w:t>
      </w:r>
      <w:r w:rsidR="005E705E">
        <w:rPr>
          <w:rFonts w:hint="eastAsia"/>
          <w:sz w:val="24"/>
          <w:szCs w:val="24"/>
        </w:rPr>
        <w:t>安全芯片</w:t>
      </w:r>
      <w:r>
        <w:rPr>
          <w:rFonts w:ascii="Times New Roman" w:hAnsi="Times New Roman" w:cs="Times New Roman" w:hint="eastAsia"/>
          <w:sz w:val="24"/>
          <w:szCs w:val="24"/>
        </w:rPr>
        <w:t>领域属于第一梯队，具有较高的市场占有率。</w:t>
      </w:r>
    </w:p>
    <w:p w14:paraId="7BA7FE06" w14:textId="77777777" w:rsidR="00BD3166" w:rsidRDefault="00C64679">
      <w:pPr>
        <w:spacing w:line="360" w:lineRule="auto"/>
        <w:ind w:firstLineChars="200" w:firstLine="480"/>
        <w:rPr>
          <w:sz w:val="24"/>
          <w:szCs w:val="24"/>
        </w:rPr>
      </w:pPr>
      <w:r>
        <w:rPr>
          <w:rFonts w:ascii="仿宋" w:eastAsia="仿宋" w:hAnsi="仿宋" w:cs="仿宋" w:hint="eastAsia"/>
          <w:sz w:val="24"/>
          <w:szCs w:val="24"/>
        </w:rPr>
        <w:t>②</w:t>
      </w:r>
      <w:r>
        <w:rPr>
          <w:rFonts w:hint="eastAsia"/>
          <w:sz w:val="24"/>
          <w:szCs w:val="24"/>
        </w:rPr>
        <w:t>大唐微电子的订单情况</w:t>
      </w:r>
    </w:p>
    <w:p w14:paraId="76C92B08" w14:textId="77777777" w:rsidR="00BD3166" w:rsidRDefault="00C6467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大唐微电子销售的产品主要为金融社保卡芯片、身份证芯片等，产品制造周</w:t>
      </w:r>
      <w:r>
        <w:rPr>
          <w:rFonts w:ascii="Times New Roman" w:hAnsi="Times New Roman" w:cs="Times New Roman" w:hint="eastAsia"/>
          <w:sz w:val="24"/>
          <w:szCs w:val="24"/>
        </w:rPr>
        <w:lastRenderedPageBreak/>
        <w:t>期短，产品销售较为稳定，当年订单一般当年消化完毕，基于长期的业务关系和大唐微电子在该领域的市场地位，未来客户仍将较大可能与大唐微电子保持良好的业务往来。以</w:t>
      </w:r>
      <w:r>
        <w:rPr>
          <w:rFonts w:ascii="Times New Roman" w:hAnsi="Times New Roman" w:cs="Times New Roman"/>
          <w:sz w:val="24"/>
          <w:szCs w:val="24"/>
        </w:rPr>
        <w:t>大唐微电子第一大客户为</w:t>
      </w:r>
      <w:r>
        <w:rPr>
          <w:rFonts w:ascii="Times New Roman" w:hAnsi="Times New Roman" w:cs="Times New Roman" w:hint="eastAsia"/>
          <w:sz w:val="24"/>
          <w:szCs w:val="24"/>
        </w:rPr>
        <w:t>例</w:t>
      </w:r>
      <w:r>
        <w:rPr>
          <w:rFonts w:ascii="Times New Roman" w:hAnsi="Times New Roman" w:cs="Times New Roman"/>
          <w:sz w:val="24"/>
          <w:szCs w:val="24"/>
        </w:rPr>
        <w:t>，大唐微电子通常在每年上半年</w:t>
      </w:r>
      <w:r>
        <w:rPr>
          <w:rFonts w:ascii="Times New Roman" w:hAnsi="Times New Roman" w:cs="Times New Roman" w:hint="eastAsia"/>
          <w:sz w:val="24"/>
          <w:szCs w:val="24"/>
        </w:rPr>
        <w:t>、</w:t>
      </w:r>
      <w:r>
        <w:rPr>
          <w:rFonts w:ascii="Times New Roman" w:hAnsi="Times New Roman" w:cs="Times New Roman"/>
          <w:sz w:val="24"/>
          <w:szCs w:val="24"/>
        </w:rPr>
        <w:t>下半年分别与</w:t>
      </w:r>
      <w:r>
        <w:rPr>
          <w:rFonts w:ascii="Times New Roman" w:hAnsi="Times New Roman" w:cs="Times New Roman" w:hint="eastAsia"/>
          <w:sz w:val="24"/>
          <w:szCs w:val="24"/>
        </w:rPr>
        <w:t>其</w:t>
      </w:r>
      <w:r>
        <w:rPr>
          <w:rFonts w:ascii="Times New Roman" w:hAnsi="Times New Roman" w:cs="Times New Roman"/>
          <w:sz w:val="24"/>
          <w:szCs w:val="24"/>
        </w:rPr>
        <w:t>签署业务合同对上半年</w:t>
      </w:r>
      <w:r>
        <w:rPr>
          <w:rFonts w:ascii="Times New Roman" w:hAnsi="Times New Roman" w:cs="Times New Roman" w:hint="eastAsia"/>
          <w:sz w:val="24"/>
          <w:szCs w:val="24"/>
        </w:rPr>
        <w:t>、</w:t>
      </w:r>
      <w:r>
        <w:rPr>
          <w:rFonts w:ascii="Times New Roman" w:hAnsi="Times New Roman" w:cs="Times New Roman"/>
          <w:sz w:val="24"/>
          <w:szCs w:val="24"/>
        </w:rPr>
        <w:t>下半年业务量进行约定。</w:t>
      </w:r>
      <w:r>
        <w:rPr>
          <w:rFonts w:ascii="Times New Roman" w:hAnsi="Times New Roman" w:cs="Times New Roman"/>
          <w:sz w:val="24"/>
          <w:szCs w:val="24"/>
        </w:rPr>
        <w:t>2019</w:t>
      </w:r>
      <w:r>
        <w:rPr>
          <w:rFonts w:ascii="Times New Roman" w:hAnsi="Times New Roman" w:cs="Times New Roman"/>
          <w:sz w:val="24"/>
          <w:szCs w:val="24"/>
        </w:rPr>
        <w:t>年度、</w:t>
      </w:r>
      <w:r>
        <w:rPr>
          <w:rFonts w:ascii="Times New Roman" w:hAnsi="Times New Roman" w:cs="Times New Roman"/>
          <w:sz w:val="24"/>
          <w:szCs w:val="24"/>
        </w:rPr>
        <w:t>2020</w:t>
      </w:r>
      <w:r>
        <w:rPr>
          <w:rFonts w:ascii="Times New Roman" w:hAnsi="Times New Roman" w:cs="Times New Roman"/>
          <w:sz w:val="24"/>
          <w:szCs w:val="24"/>
        </w:rPr>
        <w:t>年度，大唐微电子对</w:t>
      </w:r>
      <w:r>
        <w:rPr>
          <w:rFonts w:ascii="Times New Roman" w:hAnsi="Times New Roman" w:cs="Times New Roman" w:hint="eastAsia"/>
          <w:sz w:val="24"/>
          <w:szCs w:val="24"/>
        </w:rPr>
        <w:t>其</w:t>
      </w:r>
      <w:r>
        <w:rPr>
          <w:rFonts w:ascii="Times New Roman" w:hAnsi="Times New Roman" w:cs="Times New Roman"/>
          <w:sz w:val="24"/>
          <w:szCs w:val="24"/>
        </w:rPr>
        <w:t>实现的销售收入分别为</w:t>
      </w:r>
      <w:r>
        <w:rPr>
          <w:rFonts w:ascii="Times New Roman" w:hAnsi="Times New Roman" w:cs="Times New Roman"/>
          <w:sz w:val="24"/>
          <w:szCs w:val="24"/>
        </w:rPr>
        <w:t>16,423.83</w:t>
      </w:r>
      <w:r>
        <w:rPr>
          <w:rFonts w:ascii="Times New Roman" w:hAnsi="Times New Roman" w:cs="Times New Roman"/>
          <w:sz w:val="24"/>
          <w:szCs w:val="24"/>
        </w:rPr>
        <w:t>万元和</w:t>
      </w:r>
      <w:r>
        <w:rPr>
          <w:rFonts w:ascii="Times New Roman" w:hAnsi="Times New Roman" w:cs="Times New Roman"/>
          <w:sz w:val="24"/>
          <w:szCs w:val="24"/>
        </w:rPr>
        <w:t>16,704.90</w:t>
      </w:r>
      <w:r>
        <w:rPr>
          <w:rFonts w:ascii="Times New Roman" w:hAnsi="Times New Roman" w:cs="Times New Roman"/>
          <w:sz w:val="24"/>
          <w:szCs w:val="24"/>
        </w:rPr>
        <w:t>万元</w:t>
      </w:r>
      <w:r>
        <w:rPr>
          <w:rFonts w:ascii="Times New Roman" w:hAnsi="Times New Roman" w:cs="Times New Roman" w:hint="eastAsia"/>
          <w:sz w:val="24"/>
          <w:szCs w:val="24"/>
        </w:rPr>
        <w:t>，</w:t>
      </w:r>
      <w:r>
        <w:rPr>
          <w:rFonts w:ascii="Times New Roman" w:hAnsi="Times New Roman" w:cs="Times New Roman"/>
          <w:sz w:val="24"/>
          <w:szCs w:val="24"/>
        </w:rPr>
        <w:t>各年的订单量较为稳定</w:t>
      </w:r>
      <w:r>
        <w:rPr>
          <w:rFonts w:ascii="Times New Roman" w:hAnsi="Times New Roman" w:cs="Times New Roman" w:hint="eastAsia"/>
          <w:sz w:val="24"/>
          <w:szCs w:val="24"/>
        </w:rPr>
        <w:t>。</w:t>
      </w:r>
    </w:p>
    <w:p w14:paraId="1E84BFAE" w14:textId="77777777" w:rsidR="00BD3166" w:rsidRDefault="00C64679">
      <w:pPr>
        <w:spacing w:line="360" w:lineRule="auto"/>
        <w:ind w:firstLineChars="200" w:firstLine="480"/>
        <w:rPr>
          <w:rFonts w:ascii="Times New Roman" w:hAnsi="Times New Roman" w:cs="Times New Roman"/>
          <w:sz w:val="24"/>
          <w:szCs w:val="24"/>
        </w:rPr>
      </w:pPr>
      <w:r>
        <w:rPr>
          <w:rFonts w:ascii="仿宋" w:eastAsia="仿宋" w:hAnsi="仿宋" w:cs="仿宋" w:hint="eastAsia"/>
          <w:sz w:val="24"/>
          <w:szCs w:val="24"/>
        </w:rPr>
        <w:t>③</w:t>
      </w:r>
      <w:r>
        <w:rPr>
          <w:rFonts w:ascii="Times New Roman" w:hAnsi="Times New Roman" w:cs="Times New Roman" w:hint="eastAsia"/>
          <w:sz w:val="24"/>
          <w:szCs w:val="24"/>
        </w:rPr>
        <w:t>大唐微电子历史业绩情况</w:t>
      </w:r>
    </w:p>
    <w:p w14:paraId="65BA2DBB" w14:textId="77777777" w:rsidR="00BD3166" w:rsidRDefault="00C6467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年度、</w:t>
      </w:r>
      <w:r>
        <w:rPr>
          <w:rFonts w:ascii="Times New Roman" w:hAnsi="Times New Roman" w:cs="Times New Roman"/>
          <w:sz w:val="24"/>
          <w:szCs w:val="24"/>
        </w:rPr>
        <w:t>2019</w:t>
      </w:r>
      <w:r>
        <w:rPr>
          <w:rFonts w:ascii="Times New Roman" w:hAnsi="Times New Roman" w:cs="Times New Roman"/>
          <w:sz w:val="24"/>
          <w:szCs w:val="24"/>
        </w:rPr>
        <w:t>年度和</w:t>
      </w:r>
      <w:r>
        <w:rPr>
          <w:rFonts w:ascii="Times New Roman" w:hAnsi="Times New Roman" w:cs="Times New Roman"/>
          <w:sz w:val="24"/>
          <w:szCs w:val="24"/>
        </w:rPr>
        <w:t>2020</w:t>
      </w:r>
      <w:r>
        <w:rPr>
          <w:rFonts w:ascii="Times New Roman" w:hAnsi="Times New Roman" w:cs="Times New Roman"/>
          <w:sz w:val="24"/>
          <w:szCs w:val="24"/>
        </w:rPr>
        <w:t>年度，大唐微电子营业收入分别为</w:t>
      </w:r>
      <w:r>
        <w:rPr>
          <w:rFonts w:ascii="Times New Roman" w:hAnsi="Times New Roman" w:cs="Times New Roman"/>
          <w:sz w:val="24"/>
          <w:szCs w:val="24"/>
        </w:rPr>
        <w:t>45,355.98</w:t>
      </w:r>
      <w:r>
        <w:rPr>
          <w:rFonts w:ascii="Times New Roman" w:hAnsi="Times New Roman" w:cs="Times New Roman"/>
          <w:sz w:val="24"/>
          <w:szCs w:val="24"/>
        </w:rPr>
        <w:t>万元、</w:t>
      </w:r>
      <w:r>
        <w:rPr>
          <w:rFonts w:ascii="Times New Roman" w:hAnsi="Times New Roman" w:cs="Times New Roman"/>
          <w:sz w:val="24"/>
          <w:szCs w:val="24"/>
        </w:rPr>
        <w:t>41,061.05</w:t>
      </w:r>
      <w:r>
        <w:rPr>
          <w:rFonts w:ascii="Times New Roman" w:hAnsi="Times New Roman" w:cs="Times New Roman"/>
          <w:sz w:val="24"/>
          <w:szCs w:val="24"/>
        </w:rPr>
        <w:t>万元和</w:t>
      </w:r>
      <w:r>
        <w:rPr>
          <w:rFonts w:ascii="Times New Roman" w:hAnsi="Times New Roman" w:cs="Times New Roman"/>
          <w:sz w:val="24"/>
          <w:szCs w:val="24"/>
        </w:rPr>
        <w:t>36,307.21</w:t>
      </w:r>
      <w:r>
        <w:rPr>
          <w:rFonts w:ascii="Times New Roman" w:hAnsi="Times New Roman" w:cs="Times New Roman"/>
          <w:sz w:val="24"/>
          <w:szCs w:val="24"/>
        </w:rPr>
        <w:t>万元</w:t>
      </w:r>
      <w:r>
        <w:rPr>
          <w:rFonts w:ascii="Times New Roman" w:hAnsi="Times New Roman" w:cs="Times New Roman" w:hint="eastAsia"/>
          <w:sz w:val="24"/>
          <w:szCs w:val="24"/>
        </w:rPr>
        <w:t>，</w:t>
      </w:r>
      <w:r>
        <w:rPr>
          <w:rFonts w:ascii="Times New Roman" w:hAnsi="Times New Roman" w:cs="Times New Roman"/>
          <w:sz w:val="24"/>
          <w:szCs w:val="24"/>
        </w:rPr>
        <w:t>净利润分别为</w:t>
      </w:r>
      <w:r>
        <w:rPr>
          <w:rFonts w:ascii="Times New Roman" w:hAnsi="Times New Roman" w:cs="Times New Roman"/>
          <w:sz w:val="24"/>
          <w:szCs w:val="24"/>
        </w:rPr>
        <w:t>5,192.24</w:t>
      </w:r>
      <w:r>
        <w:rPr>
          <w:rFonts w:ascii="Times New Roman" w:hAnsi="Times New Roman" w:cs="Times New Roman"/>
          <w:sz w:val="24"/>
          <w:szCs w:val="24"/>
        </w:rPr>
        <w:t>万元</w:t>
      </w:r>
      <w:r>
        <w:rPr>
          <w:rFonts w:ascii="Times New Roman" w:hAnsi="Times New Roman" w:cs="Times New Roman" w:hint="eastAsia"/>
          <w:sz w:val="24"/>
          <w:szCs w:val="24"/>
        </w:rPr>
        <w:t>、</w:t>
      </w:r>
      <w:r>
        <w:rPr>
          <w:rFonts w:ascii="Times New Roman" w:hAnsi="Times New Roman" w:cs="Times New Roman"/>
          <w:sz w:val="24"/>
          <w:szCs w:val="24"/>
        </w:rPr>
        <w:t>4,975.42</w:t>
      </w:r>
      <w:r>
        <w:rPr>
          <w:rFonts w:ascii="Times New Roman" w:hAnsi="Times New Roman" w:cs="Times New Roman"/>
          <w:sz w:val="24"/>
          <w:szCs w:val="24"/>
        </w:rPr>
        <w:t>万元和</w:t>
      </w:r>
      <w:r>
        <w:rPr>
          <w:rFonts w:ascii="Times New Roman" w:hAnsi="Times New Roman" w:cs="Times New Roman"/>
          <w:sz w:val="24"/>
          <w:szCs w:val="24"/>
        </w:rPr>
        <w:t>-1,529.93</w:t>
      </w:r>
      <w:r>
        <w:rPr>
          <w:rFonts w:ascii="Times New Roman" w:hAnsi="Times New Roman" w:cs="Times New Roman"/>
          <w:sz w:val="24"/>
          <w:szCs w:val="24"/>
        </w:rPr>
        <w:t>万元</w:t>
      </w:r>
      <w:r>
        <w:rPr>
          <w:rFonts w:ascii="Times New Roman" w:hAnsi="Times New Roman" w:cs="Times New Roman" w:hint="eastAsia"/>
          <w:sz w:val="24"/>
          <w:szCs w:val="24"/>
        </w:rPr>
        <w:t>。</w:t>
      </w:r>
      <w:r>
        <w:rPr>
          <w:rFonts w:ascii="Times New Roman" w:hAnsi="Times New Roman" w:cs="Times New Roman"/>
          <w:sz w:val="24"/>
          <w:szCs w:val="24"/>
        </w:rPr>
        <w:t>2018</w:t>
      </w:r>
      <w:r>
        <w:rPr>
          <w:rFonts w:ascii="Times New Roman" w:hAnsi="Times New Roman" w:cs="Times New Roman"/>
          <w:sz w:val="24"/>
          <w:szCs w:val="24"/>
        </w:rPr>
        <w:t>年度、</w:t>
      </w:r>
      <w:r>
        <w:rPr>
          <w:rFonts w:ascii="Times New Roman" w:hAnsi="Times New Roman" w:cs="Times New Roman"/>
          <w:sz w:val="24"/>
          <w:szCs w:val="24"/>
        </w:rPr>
        <w:t>2019</w:t>
      </w:r>
      <w:r>
        <w:rPr>
          <w:rFonts w:ascii="Times New Roman" w:hAnsi="Times New Roman" w:cs="Times New Roman"/>
          <w:sz w:val="24"/>
          <w:szCs w:val="24"/>
        </w:rPr>
        <w:t>年度</w:t>
      </w:r>
      <w:r>
        <w:rPr>
          <w:rFonts w:ascii="Times New Roman" w:hAnsi="Times New Roman" w:cs="Times New Roman" w:hint="eastAsia"/>
          <w:sz w:val="24"/>
          <w:szCs w:val="24"/>
        </w:rPr>
        <w:t>，</w:t>
      </w:r>
      <w:r>
        <w:rPr>
          <w:rFonts w:ascii="Times New Roman" w:hAnsi="Times New Roman" w:cs="Times New Roman"/>
          <w:sz w:val="24"/>
          <w:szCs w:val="24"/>
        </w:rPr>
        <w:t>大唐微电子净利润维持在</w:t>
      </w:r>
      <w:r>
        <w:rPr>
          <w:rFonts w:ascii="Times New Roman" w:hAnsi="Times New Roman" w:cs="Times New Roman" w:hint="eastAsia"/>
          <w:sz w:val="24"/>
          <w:szCs w:val="24"/>
        </w:rPr>
        <w:t>5</w:t>
      </w:r>
      <w:r>
        <w:rPr>
          <w:rFonts w:ascii="Times New Roman" w:hAnsi="Times New Roman" w:cs="Times New Roman"/>
          <w:sz w:val="24"/>
          <w:szCs w:val="24"/>
        </w:rPr>
        <w:t>,000</w:t>
      </w:r>
      <w:r>
        <w:rPr>
          <w:rFonts w:ascii="Times New Roman" w:hAnsi="Times New Roman" w:cs="Times New Roman"/>
          <w:sz w:val="24"/>
          <w:szCs w:val="24"/>
        </w:rPr>
        <w:t>万元左右</w:t>
      </w:r>
      <w:r>
        <w:rPr>
          <w:rFonts w:ascii="Times New Roman" w:hAnsi="Times New Roman" w:cs="Times New Roman" w:hint="eastAsia"/>
          <w:sz w:val="24"/>
          <w:szCs w:val="24"/>
        </w:rPr>
        <w:t>，在现有产品和经营方针的情况下，净利润水平较为稳定；</w:t>
      </w:r>
      <w:r>
        <w:rPr>
          <w:rFonts w:ascii="Times New Roman" w:hAnsi="Times New Roman" w:cs="Times New Roman" w:hint="eastAsia"/>
          <w:sz w:val="24"/>
          <w:szCs w:val="24"/>
        </w:rPr>
        <w:t>2</w:t>
      </w:r>
      <w:r>
        <w:rPr>
          <w:rFonts w:ascii="Times New Roman" w:hAnsi="Times New Roman" w:cs="Times New Roman"/>
          <w:sz w:val="24"/>
          <w:szCs w:val="24"/>
        </w:rPr>
        <w:t>020</w:t>
      </w:r>
      <w:r>
        <w:rPr>
          <w:rFonts w:ascii="Times New Roman" w:hAnsi="Times New Roman" w:cs="Times New Roman"/>
          <w:sz w:val="24"/>
          <w:szCs w:val="24"/>
        </w:rPr>
        <w:t>年度</w:t>
      </w:r>
      <w:r>
        <w:rPr>
          <w:rFonts w:ascii="Times New Roman" w:hAnsi="Times New Roman" w:cs="Times New Roman" w:hint="eastAsia"/>
          <w:sz w:val="24"/>
          <w:szCs w:val="24"/>
        </w:rPr>
        <w:t>，根据北京证监局</w:t>
      </w:r>
      <w:r>
        <w:rPr>
          <w:rFonts w:ascii="Times New Roman" w:hAnsi="Times New Roman" w:cs="Times New Roman" w:hint="eastAsia"/>
          <w:sz w:val="24"/>
          <w:szCs w:val="24"/>
        </w:rPr>
        <w:t>2021-021</w:t>
      </w:r>
      <w:r>
        <w:rPr>
          <w:rFonts w:ascii="Times New Roman" w:hAnsi="Times New Roman" w:cs="Times New Roman" w:hint="eastAsia"/>
          <w:sz w:val="24"/>
          <w:szCs w:val="24"/>
        </w:rPr>
        <w:t>《行政监管措施决定书》进行财务整改的公告，基于谨慎性原则和实际情况，对北京实利通和科技发展有限公司调整为冲回毛利确认营业外支出</w:t>
      </w:r>
      <w:r>
        <w:rPr>
          <w:rFonts w:ascii="Times New Roman" w:hAnsi="Times New Roman" w:cs="Times New Roman" w:hint="eastAsia"/>
          <w:sz w:val="24"/>
          <w:szCs w:val="24"/>
        </w:rPr>
        <w:t>2,254.17</w:t>
      </w:r>
      <w:r>
        <w:rPr>
          <w:rFonts w:ascii="Times New Roman" w:hAnsi="Times New Roman" w:cs="Times New Roman" w:hint="eastAsia"/>
          <w:sz w:val="24"/>
          <w:szCs w:val="24"/>
        </w:rPr>
        <w:t>万元，补提剩余坏账</w:t>
      </w:r>
      <w:r>
        <w:rPr>
          <w:rFonts w:ascii="Times New Roman" w:hAnsi="Times New Roman" w:cs="Times New Roman" w:hint="eastAsia"/>
          <w:sz w:val="24"/>
          <w:szCs w:val="24"/>
        </w:rPr>
        <w:t>3,555.98</w:t>
      </w:r>
      <w:r>
        <w:rPr>
          <w:rFonts w:ascii="Times New Roman" w:hAnsi="Times New Roman" w:cs="Times New Roman" w:hint="eastAsia"/>
          <w:sz w:val="24"/>
          <w:szCs w:val="24"/>
        </w:rPr>
        <w:t>万元，总计调减利润总额</w:t>
      </w:r>
      <w:r>
        <w:rPr>
          <w:rFonts w:ascii="Times New Roman" w:hAnsi="Times New Roman" w:cs="Times New Roman" w:hint="eastAsia"/>
          <w:sz w:val="24"/>
          <w:szCs w:val="24"/>
        </w:rPr>
        <w:t>5,810.15</w:t>
      </w:r>
      <w:r>
        <w:rPr>
          <w:rFonts w:ascii="Times New Roman" w:hAnsi="Times New Roman" w:cs="Times New Roman" w:hint="eastAsia"/>
          <w:sz w:val="24"/>
          <w:szCs w:val="24"/>
        </w:rPr>
        <w:t>万元。扣除此历史业务影响，大唐微电子</w:t>
      </w:r>
      <w:r>
        <w:rPr>
          <w:rFonts w:ascii="Times New Roman" w:hAnsi="Times New Roman" w:cs="Times New Roman" w:hint="eastAsia"/>
          <w:sz w:val="24"/>
          <w:szCs w:val="24"/>
        </w:rPr>
        <w:t>2</w:t>
      </w:r>
      <w:r>
        <w:rPr>
          <w:rFonts w:ascii="Times New Roman" w:hAnsi="Times New Roman" w:cs="Times New Roman"/>
          <w:sz w:val="24"/>
          <w:szCs w:val="24"/>
        </w:rPr>
        <w:t>020</w:t>
      </w:r>
      <w:r>
        <w:rPr>
          <w:rFonts w:ascii="Times New Roman" w:hAnsi="Times New Roman" w:cs="Times New Roman"/>
          <w:sz w:val="24"/>
          <w:szCs w:val="24"/>
        </w:rPr>
        <w:t>年</w:t>
      </w:r>
      <w:r>
        <w:rPr>
          <w:rFonts w:ascii="Times New Roman" w:hAnsi="Times New Roman" w:cs="Times New Roman" w:hint="eastAsia"/>
          <w:sz w:val="24"/>
          <w:szCs w:val="24"/>
        </w:rPr>
        <w:t>实际利润总额为</w:t>
      </w:r>
      <w:r>
        <w:rPr>
          <w:rFonts w:ascii="Times New Roman" w:hAnsi="Times New Roman" w:cs="Times New Roman" w:hint="eastAsia"/>
          <w:sz w:val="24"/>
          <w:szCs w:val="24"/>
        </w:rPr>
        <w:t>5,375.53</w:t>
      </w:r>
      <w:r>
        <w:rPr>
          <w:rFonts w:ascii="Times New Roman" w:hAnsi="Times New Roman" w:cs="Times New Roman" w:hint="eastAsia"/>
          <w:sz w:val="24"/>
          <w:szCs w:val="24"/>
        </w:rPr>
        <w:t>万元，净利润为</w:t>
      </w:r>
      <w:r>
        <w:rPr>
          <w:rFonts w:ascii="Times New Roman" w:hAnsi="Times New Roman" w:cs="Times New Roman" w:hint="eastAsia"/>
          <w:sz w:val="24"/>
          <w:szCs w:val="24"/>
        </w:rPr>
        <w:t>4,280.22</w:t>
      </w:r>
      <w:r>
        <w:rPr>
          <w:rFonts w:ascii="Times New Roman" w:hAnsi="Times New Roman" w:cs="Times New Roman" w:hint="eastAsia"/>
          <w:sz w:val="24"/>
          <w:szCs w:val="24"/>
        </w:rPr>
        <w:t>万元。</w:t>
      </w:r>
    </w:p>
    <w:p w14:paraId="32794FA0" w14:textId="19A837FA" w:rsidR="00BD3166" w:rsidRDefault="00C64679">
      <w:pPr>
        <w:spacing w:line="360" w:lineRule="auto"/>
        <w:ind w:firstLineChars="200" w:firstLine="480"/>
        <w:rPr>
          <w:rFonts w:ascii="Times New Roman" w:hAnsi="Times New Roman" w:cs="Times New Roman"/>
          <w:b/>
          <w:sz w:val="24"/>
          <w:szCs w:val="24"/>
        </w:rPr>
      </w:pPr>
      <w:r>
        <w:rPr>
          <w:rFonts w:ascii="Times New Roman" w:hAnsi="Times New Roman" w:cs="Times New Roman"/>
          <w:sz w:val="24"/>
          <w:szCs w:val="24"/>
        </w:rPr>
        <w:t>综上所述</w:t>
      </w:r>
      <w:r>
        <w:rPr>
          <w:rFonts w:ascii="Times New Roman" w:hAnsi="Times New Roman" w:cs="Times New Roman" w:hint="eastAsia"/>
          <w:sz w:val="24"/>
          <w:szCs w:val="24"/>
        </w:rPr>
        <w:t>，大唐微电子在</w:t>
      </w:r>
      <w:r w:rsidR="005E705E">
        <w:rPr>
          <w:rFonts w:hint="eastAsia"/>
          <w:sz w:val="24"/>
          <w:szCs w:val="24"/>
        </w:rPr>
        <w:t>安全芯片</w:t>
      </w:r>
      <w:r>
        <w:rPr>
          <w:rFonts w:ascii="Times New Roman" w:hAnsi="Times New Roman" w:cs="Times New Roman" w:hint="eastAsia"/>
          <w:sz w:val="24"/>
          <w:szCs w:val="24"/>
        </w:rPr>
        <w:t>市场具有较高的市场占有率，与第一大客户保持稳定的合作关系，预计未来几年仍可从其获取相当数量的订单。大唐微电子的主营产品未来几年面临较高的市场需求，综合考虑大唐微电子过去三年业绩情况，并</w:t>
      </w:r>
      <w:proofErr w:type="gramStart"/>
      <w:r>
        <w:rPr>
          <w:rFonts w:ascii="Times New Roman" w:hAnsi="Times New Roman" w:cs="Times New Roman" w:hint="eastAsia"/>
          <w:sz w:val="24"/>
          <w:szCs w:val="24"/>
        </w:rPr>
        <w:t>结合国新建信</w:t>
      </w:r>
      <w:proofErr w:type="gramEnd"/>
      <w:r>
        <w:rPr>
          <w:rFonts w:ascii="Times New Roman" w:hAnsi="Times New Roman" w:cs="Times New Roman" w:hint="eastAsia"/>
          <w:sz w:val="24"/>
          <w:szCs w:val="24"/>
        </w:rPr>
        <w:t>基金持入股后，标的公司经营方针改进、配套资源改善等因素，标的公司核心竞争力和盈利能力将进一步提高；此外，伴随着未来新产品陆续投入市场，若新产品市场表现较好，大唐微电子业绩将获得更多支撑。所以，大唐微电子业绩目标具备实现性和合理性。</w:t>
      </w:r>
    </w:p>
    <w:p w14:paraId="72F08E28" w14:textId="77777777" w:rsidR="00BD3166" w:rsidRDefault="00C64679">
      <w:pPr>
        <w:spacing w:line="360" w:lineRule="auto"/>
        <w:ind w:firstLineChars="200" w:firstLine="482"/>
        <w:outlineLvl w:val="2"/>
        <w:rPr>
          <w:rFonts w:ascii="微软雅黑" w:eastAsia="微软雅黑" w:hAnsi="微软雅黑" w:cs="微软雅黑"/>
          <w:sz w:val="24"/>
          <w:szCs w:val="28"/>
        </w:rPr>
      </w:pPr>
      <w:r>
        <w:rPr>
          <w:rFonts w:ascii="宋体" w:eastAsia="宋体" w:hAnsi="宋体" w:hint="eastAsia"/>
          <w:b/>
          <w:bCs/>
          <w:sz w:val="24"/>
          <w:szCs w:val="28"/>
        </w:rPr>
        <w:t>（三）相关风险提示</w:t>
      </w:r>
    </w:p>
    <w:p w14:paraId="118A76FD" w14:textId="77777777" w:rsidR="00BD3166" w:rsidRDefault="00C6467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针对标的公司大唐微电子的具体情况，大唐电信已经在《大唐电信科技股份有限公司控股子公司增资之重大资产重组报告书（草案）》之“重大风险提示”之“三、与标的资产相关的风险”中进行了风险提示，针对标的资产的盈利波动风险补充披露如下：</w:t>
      </w:r>
    </w:p>
    <w:p w14:paraId="08039577" w14:textId="77777777" w:rsidR="00BD3166" w:rsidRDefault="00C64679">
      <w:pPr>
        <w:widowControl/>
        <w:adjustRightInd w:val="0"/>
        <w:snapToGrid w:val="0"/>
        <w:spacing w:line="360" w:lineRule="auto"/>
        <w:ind w:firstLineChars="200" w:firstLine="480"/>
        <w:rPr>
          <w:rFonts w:asciiTheme="minorEastAsia" w:hAnsiTheme="minorEastAsia" w:cs="微软雅黑"/>
          <w:sz w:val="24"/>
          <w:szCs w:val="28"/>
        </w:rPr>
      </w:pPr>
      <w:r>
        <w:rPr>
          <w:rFonts w:asciiTheme="minorEastAsia" w:hAnsiTheme="minorEastAsia" w:cs="微软雅黑" w:hint="eastAsia"/>
          <w:sz w:val="24"/>
          <w:szCs w:val="28"/>
        </w:rPr>
        <w:t>“</w:t>
      </w:r>
      <w:r>
        <w:rPr>
          <w:rFonts w:asciiTheme="minorEastAsia" w:hAnsiTheme="minorEastAsia" w:cs="微软雅黑" w:hint="eastAsia"/>
          <w:b/>
          <w:bCs/>
          <w:sz w:val="24"/>
          <w:szCs w:val="28"/>
        </w:rPr>
        <w:t>（六）盈利波动风险</w:t>
      </w:r>
    </w:p>
    <w:p w14:paraId="0C89A9A2" w14:textId="77777777" w:rsidR="00BD3166" w:rsidRDefault="00C64679">
      <w:pPr>
        <w:tabs>
          <w:tab w:val="left" w:pos="482"/>
          <w:tab w:val="left" w:pos="851"/>
          <w:tab w:val="left" w:pos="1050"/>
        </w:tabs>
        <w:snapToGrid w:val="0"/>
        <w:spacing w:line="360" w:lineRule="auto"/>
        <w:ind w:firstLineChars="200" w:firstLine="480"/>
        <w:rPr>
          <w:bCs/>
          <w:sz w:val="24"/>
          <w:szCs w:val="24"/>
        </w:rPr>
      </w:pPr>
      <w:r>
        <w:rPr>
          <w:rFonts w:hint="eastAsia"/>
          <w:bCs/>
          <w:sz w:val="24"/>
          <w:szCs w:val="24"/>
        </w:rPr>
        <w:t>标的公司处于充分竞争行业，且目前开拓物联网安全应用、工业互联网等新</w:t>
      </w:r>
      <w:r>
        <w:rPr>
          <w:rFonts w:hint="eastAsia"/>
          <w:bCs/>
          <w:sz w:val="24"/>
          <w:szCs w:val="24"/>
        </w:rPr>
        <w:lastRenderedPageBreak/>
        <w:t>兴市场的业务产品亦将面向充分竞争市场，经营业绩受到行业景气度、上下游、技术进步等多种因素综合影响。</w:t>
      </w:r>
    </w:p>
    <w:p w14:paraId="183D768F" w14:textId="77777777" w:rsidR="00BD3166" w:rsidRDefault="00C64679">
      <w:pPr>
        <w:tabs>
          <w:tab w:val="left" w:pos="482"/>
          <w:tab w:val="left" w:pos="851"/>
          <w:tab w:val="left" w:pos="1050"/>
        </w:tabs>
        <w:snapToGrid w:val="0"/>
        <w:spacing w:line="360" w:lineRule="auto"/>
        <w:ind w:firstLineChars="200" w:firstLine="480"/>
        <w:rPr>
          <w:bCs/>
          <w:sz w:val="24"/>
          <w:szCs w:val="24"/>
        </w:rPr>
      </w:pPr>
      <w:r>
        <w:rPr>
          <w:rFonts w:hint="eastAsia"/>
          <w:bCs/>
          <w:sz w:val="24"/>
          <w:szCs w:val="24"/>
        </w:rPr>
        <w:t>一方面，在受新冠疫情因素导致的全球经济增长持续低迷、中美贸易战影响仍未消除的背景下，全球经济增速回归较高水平的难度较大，宏观环境可能拖累标的公司业绩增长；另一方面，标的公司处于高投入的高科技行业，为适应不断变化调整的市场竞争格局，需要不断加大研发投入，不断更新原有技术和产品。标的公司目前处于产业调整转型时期，大量研发投入产生的效益在短期内尚无法充分体现，从而会对标的公司的短期经营业绩产生一定不利影响；最后，受国际宏观政治环境影响，近年来国内集成电路市场波动较大，导致行业历史年度收益存在一定波动，行业波动同样波及到标的公司，标的公司如果不能快速、准确的把握技术发展方向进而快速推出更新换代的产品，将使标的公司面临现有产品或技术被淘汰的风险。</w:t>
      </w:r>
    </w:p>
    <w:p w14:paraId="08FA031A" w14:textId="77777777" w:rsidR="00BD3166" w:rsidRDefault="00C64679">
      <w:pPr>
        <w:widowControl/>
        <w:tabs>
          <w:tab w:val="left" w:pos="482"/>
          <w:tab w:val="left" w:pos="851"/>
          <w:tab w:val="left" w:pos="1050"/>
        </w:tabs>
        <w:snapToGrid w:val="0"/>
        <w:spacing w:line="360" w:lineRule="auto"/>
        <w:ind w:firstLineChars="200" w:firstLine="480"/>
        <w:rPr>
          <w:rFonts w:asciiTheme="minorEastAsia" w:hAnsiTheme="minorEastAsia" w:cs="微软雅黑"/>
          <w:sz w:val="24"/>
          <w:szCs w:val="28"/>
        </w:rPr>
      </w:pPr>
      <w:r>
        <w:rPr>
          <w:rFonts w:hint="eastAsia"/>
          <w:bCs/>
          <w:sz w:val="24"/>
          <w:szCs w:val="24"/>
        </w:rPr>
        <w:t>综上，公司外部宏观环境和市场竞争环境复杂，叠加技术风险，导致公司存在盈利波动风险。</w:t>
      </w:r>
      <w:r>
        <w:rPr>
          <w:rFonts w:asciiTheme="minorEastAsia" w:hAnsiTheme="minorEastAsia" w:cs="微软雅黑" w:hint="eastAsia"/>
          <w:sz w:val="24"/>
          <w:szCs w:val="28"/>
        </w:rPr>
        <w:t>”</w:t>
      </w:r>
    </w:p>
    <w:p w14:paraId="7A55A3EE"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四、独立财务顾问核查意见</w:t>
      </w:r>
    </w:p>
    <w:p w14:paraId="427ED719"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经核查，</w:t>
      </w:r>
      <w:proofErr w:type="gramStart"/>
      <w:r>
        <w:rPr>
          <w:rFonts w:ascii="Times New Roman" w:hAnsi="Times New Roman" w:cs="Times New Roman" w:hint="eastAsia"/>
          <w:sz w:val="24"/>
        </w:rPr>
        <w:t>本独立</w:t>
      </w:r>
      <w:proofErr w:type="gramEnd"/>
      <w:r>
        <w:rPr>
          <w:rFonts w:ascii="Times New Roman" w:hAnsi="Times New Roman" w:cs="Times New Roman" w:hint="eastAsia"/>
          <w:sz w:val="24"/>
        </w:rPr>
        <w:t>财务顾问认为：</w:t>
      </w:r>
    </w:p>
    <w:p w14:paraId="170EBAD1" w14:textId="40F109EA" w:rsidR="00BD3166" w:rsidRDefault="00C64679">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次增资采用资产基础法和市场法由于两种方法从不同途径反映资产价值，故造成差异，评估结果差异具备合理性；市场法的评估结论能更全面、合理地反映企业的内含价值，故选取市场法作为评估结论，选取市场法作为评估结论具备合理性；</w:t>
      </w:r>
    </w:p>
    <w:p w14:paraId="2B21AA83" w14:textId="52E32029" w:rsidR="00BD3166" w:rsidRDefault="00C64679">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场法评估时，由于北京实利通和科技发展有限公司事项为标的公司以前年度开展业务所形成的债权和损益潜在影响因素，非标的公司当期正常经营的实际结果体现，标的公司当期的业务模式、经营范围等均未发生本质变化，故剔除前期财务整改对标的公司财务数据影响，原因合理、充分；</w:t>
      </w:r>
    </w:p>
    <w:p w14:paraId="45971B1D" w14:textId="1122C0D4" w:rsidR="00BD3166" w:rsidRDefault="00C64679">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通过列示并分析标的公司与可比公司在主营业务、盈利能力、偿债能力、营运能力、成长能力等方面的具体差异，可比公司的选取合理准确，具有可比性；通过分析评估过程，评估过程及结果公允；</w:t>
      </w:r>
    </w:p>
    <w:p w14:paraId="50F7F1DD" w14:textId="1CE941E6" w:rsidR="00BD3166" w:rsidRDefault="00C64679">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由于未来收益预测不确定性较大，本次交易未采用收益法评估，原因合理、充分；本次交易中，为促进标的公司健康发展，交易各方一致同意在退出条款中</w:t>
      </w:r>
      <w:r>
        <w:rPr>
          <w:rFonts w:ascii="Times New Roman" w:hAnsi="Times New Roman" w:cs="Times New Roman" w:hint="eastAsia"/>
          <w:sz w:val="24"/>
        </w:rPr>
        <w:lastRenderedPageBreak/>
        <w:t>拟定业绩目标作为标的公司后续经营目标参考，并签署合作协议约定将通过多种措施提高标的公司核心竞争力和盈利能力，符合交易各方作为标的公司股东的利益诉求，具有合理性；本次增资未采用收益法评估，但在退出安排中设定具体业绩条件的原因充分、合理；结合标的公司过往业绩情况、行业地位及订单情况等分析，相关业绩设置合理、具备可实现性，并补充提示了相关风险。</w:t>
      </w:r>
    </w:p>
    <w:p w14:paraId="53068C51"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五、评估师核查意见</w:t>
      </w:r>
    </w:p>
    <w:p w14:paraId="3D41E1E2" w14:textId="77777777" w:rsidR="00BD3166" w:rsidRDefault="00C64679">
      <w:pPr>
        <w:widowControl/>
        <w:tabs>
          <w:tab w:val="left" w:pos="482"/>
          <w:tab w:val="left" w:pos="851"/>
          <w:tab w:val="left" w:pos="1050"/>
        </w:tabs>
        <w:snapToGrid w:val="0"/>
        <w:spacing w:line="360" w:lineRule="auto"/>
        <w:ind w:firstLineChars="200" w:firstLine="480"/>
        <w:rPr>
          <w:bCs/>
          <w:sz w:val="24"/>
          <w:szCs w:val="24"/>
        </w:rPr>
      </w:pPr>
      <w:r>
        <w:rPr>
          <w:rFonts w:ascii="Times New Roman" w:hAnsi="Times New Roman" w:cs="Times New Roman" w:hint="eastAsia"/>
          <w:sz w:val="24"/>
        </w:rPr>
        <w:t>经核查，</w:t>
      </w:r>
      <w:r>
        <w:rPr>
          <w:rFonts w:hint="eastAsia"/>
          <w:bCs/>
          <w:sz w:val="24"/>
          <w:szCs w:val="24"/>
        </w:rPr>
        <w:t>本评估机构认为：</w:t>
      </w:r>
    </w:p>
    <w:p w14:paraId="23836881" w14:textId="782D1935" w:rsidR="00BD3166" w:rsidRDefault="00C64679">
      <w:pPr>
        <w:numPr>
          <w:ilvl w:val="255"/>
          <w:numId w:val="0"/>
        </w:num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本次增资采用资产基础法和市场法由于两种方法从不同途径反映资产价值，故造成差异，评估结果差异具备合理性；市场法的评估结论能更全面、合理地反映企业的内含价值，故选取市场法作为评估结论，选取市场法作为评估结论具备合理性；</w:t>
      </w:r>
    </w:p>
    <w:p w14:paraId="034CE8B2" w14:textId="7F2620DD" w:rsidR="00BD3166" w:rsidRDefault="00C64679">
      <w:pPr>
        <w:numPr>
          <w:ilvl w:val="255"/>
          <w:numId w:val="0"/>
        </w:num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市场法评估时，由于北京实利通和科技发展有限公司事项为标的公司以前年度开展业务所形成的债权和损益潜在影响因素，非标的公司当期正常经营的实际结果体现，标的公司当期的业务模式、经营范围等均未发生本质变化，故剔除前期财务整改对标的公司财务数据影响，原因合理、充分；</w:t>
      </w:r>
    </w:p>
    <w:p w14:paraId="3887A13F" w14:textId="5EB29101" w:rsidR="00BD3166" w:rsidRDefault="00C64679">
      <w:pPr>
        <w:numPr>
          <w:ilvl w:val="255"/>
          <w:numId w:val="0"/>
        </w:num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通过列示并分析标的公司与可比公司在主营业务、盈利能力、偿债能力、营运能力、成长能力等方面的具体差异，可比公司的选取合理准确，具有可比性；通过分析评估过程，评估过程及结果公允；</w:t>
      </w:r>
    </w:p>
    <w:p w14:paraId="4641CAA6" w14:textId="2A321059" w:rsidR="00BD3166" w:rsidRDefault="00C64679">
      <w:pPr>
        <w:numPr>
          <w:ilvl w:val="255"/>
          <w:numId w:val="0"/>
        </w:num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由于未来收益预测不确定性较大，本次交易未采用收益法评估，原因合理、充分；本次交易中，为促进标的公司健康发展，交易各方一致同意在退出条款中拟定业绩目标作为标的公司后续经营目标参考，并签署合作协议约定将通过多种措施提高标的公司核心竞争力和盈利能力，符合交易各方作为标的公司股东的利益诉求，具有合理性；本次增资未采用收益法评估，但在退出安排中设定具体业绩条件的原因充分、合理；结合标的公司过往业绩情况、行业地位及订单情况等分析，相关业绩设置合理、具备可实现性，并补充提示了相关风险。</w:t>
      </w:r>
    </w:p>
    <w:p w14:paraId="05E149F3"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六、补充披露情况</w:t>
      </w:r>
    </w:p>
    <w:p w14:paraId="2EDEA693" w14:textId="77777777" w:rsidR="00BD3166" w:rsidRDefault="00C64679">
      <w:pPr>
        <w:widowControl/>
        <w:autoSpaceDE w:val="0"/>
        <w:autoSpaceDN w:val="0"/>
        <w:spacing w:beforeLines="50" w:before="156" w:line="360" w:lineRule="auto"/>
        <w:ind w:firstLineChars="200" w:firstLine="480"/>
        <w:rPr>
          <w:rFonts w:ascii="Times New Roman" w:hAnsi="Times New Roman" w:cs="Times New Roman"/>
          <w:b/>
          <w:bCs/>
          <w:sz w:val="24"/>
        </w:rPr>
      </w:pPr>
      <w:r>
        <w:rPr>
          <w:rFonts w:ascii="Times New Roman" w:eastAsia="宋体" w:hAnsi="Times New Roman" w:cs="Times New Roman" w:hint="eastAsia"/>
          <w:color w:val="000000"/>
          <w:sz w:val="24"/>
          <w:szCs w:val="24"/>
        </w:rPr>
        <w:t>大唐电信在《大唐电信科技股份有限公司控股子公司增资之重大资产重组报告书（草案）》之“重大风险提示”之“三、与标的资产相关的风险”之“（六）</w:t>
      </w:r>
      <w:r>
        <w:rPr>
          <w:rFonts w:ascii="Times New Roman" w:eastAsia="宋体" w:hAnsi="Times New Roman" w:cs="Times New Roman" w:hint="eastAsia"/>
          <w:color w:val="000000"/>
          <w:sz w:val="24"/>
          <w:szCs w:val="24"/>
        </w:rPr>
        <w:lastRenderedPageBreak/>
        <w:t>盈利波动风险”、“</w:t>
      </w:r>
      <w:bookmarkStart w:id="24" w:name="_Toc59011054"/>
      <w:bookmarkStart w:id="25" w:name="_Toc59010883"/>
      <w:bookmarkStart w:id="26" w:name="_Toc73542685"/>
      <w:bookmarkStart w:id="27" w:name="_Toc16301"/>
      <w:r>
        <w:rPr>
          <w:rFonts w:ascii="Times New Roman" w:eastAsia="宋体" w:hAnsi="Times New Roman" w:cs="Times New Roman" w:hint="eastAsia"/>
          <w:color w:val="000000"/>
          <w:sz w:val="24"/>
          <w:szCs w:val="24"/>
        </w:rPr>
        <w:t>第十一节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风险因素</w:t>
      </w:r>
      <w:bookmarkEnd w:id="24"/>
      <w:bookmarkEnd w:id="25"/>
      <w:bookmarkEnd w:id="26"/>
      <w:bookmarkEnd w:id="27"/>
      <w:r>
        <w:rPr>
          <w:rFonts w:ascii="Times New Roman" w:eastAsia="宋体" w:hAnsi="Times New Roman" w:cs="Times New Roman" w:hint="eastAsia"/>
          <w:color w:val="000000"/>
          <w:sz w:val="24"/>
          <w:szCs w:val="24"/>
        </w:rPr>
        <w:t>”之“三、与标的资产相关的风险”之“（六）盈利波动风险”补充披露了相关内容。</w:t>
      </w:r>
    </w:p>
    <w:p w14:paraId="2EA93131" w14:textId="77777777" w:rsidR="00BD3166" w:rsidRDefault="00C64679">
      <w:pPr>
        <w:spacing w:beforeLines="50" w:before="156" w:afterLines="50" w:after="156" w:line="360" w:lineRule="auto"/>
        <w:ind w:firstLineChars="200" w:firstLine="482"/>
        <w:outlineLvl w:val="0"/>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问题</w:t>
      </w:r>
      <w:r>
        <w:rPr>
          <w:rFonts w:ascii="Times New Roman" w:eastAsia="宋体" w:hAnsi="Times New Roman" w:cs="Times New Roman"/>
          <w:b/>
          <w:color w:val="000000"/>
          <w:sz w:val="24"/>
          <w:szCs w:val="24"/>
        </w:rPr>
        <w:t>4.</w:t>
      </w:r>
      <w:r>
        <w:rPr>
          <w:rFonts w:ascii="Times New Roman" w:eastAsia="宋体" w:hAnsi="Times New Roman" w:cs="Times New Roman"/>
          <w:b/>
          <w:color w:val="000000"/>
          <w:sz w:val="24"/>
          <w:szCs w:val="24"/>
        </w:rPr>
        <w:t>草案及前期公告披露，标的公司</w:t>
      </w:r>
      <w:r>
        <w:rPr>
          <w:rFonts w:ascii="Times New Roman" w:eastAsia="宋体" w:hAnsi="Times New Roman" w:cs="Times New Roman"/>
          <w:b/>
          <w:color w:val="000000"/>
          <w:sz w:val="24"/>
          <w:szCs w:val="24"/>
        </w:rPr>
        <w:t>2020</w:t>
      </w:r>
      <w:r>
        <w:rPr>
          <w:rFonts w:ascii="Times New Roman" w:eastAsia="宋体" w:hAnsi="Times New Roman" w:cs="Times New Roman"/>
          <w:b/>
          <w:color w:val="000000"/>
          <w:sz w:val="24"/>
          <w:szCs w:val="24"/>
        </w:rPr>
        <w:t>年经审计净利润为</w:t>
      </w:r>
      <w:r>
        <w:rPr>
          <w:rFonts w:ascii="Times New Roman" w:eastAsia="宋体" w:hAnsi="Times New Roman" w:cs="Times New Roman"/>
          <w:b/>
          <w:color w:val="000000"/>
          <w:sz w:val="24"/>
          <w:szCs w:val="24"/>
        </w:rPr>
        <w:t>-1529.93</w:t>
      </w:r>
      <w:r>
        <w:rPr>
          <w:rFonts w:ascii="Times New Roman" w:eastAsia="宋体" w:hAnsi="Times New Roman" w:cs="Times New Roman"/>
          <w:b/>
          <w:color w:val="000000"/>
          <w:sz w:val="24"/>
          <w:szCs w:val="24"/>
        </w:rPr>
        <w:t>万元，同比大幅下降且由正转负，主要系财务整改影响所致。</w:t>
      </w:r>
      <w:r>
        <w:rPr>
          <w:rFonts w:ascii="Times New Roman" w:eastAsia="宋体" w:hAnsi="Times New Roman" w:cs="Times New Roman"/>
          <w:b/>
          <w:color w:val="000000"/>
          <w:sz w:val="24"/>
          <w:szCs w:val="24"/>
        </w:rPr>
        <w:t>2011-2017</w:t>
      </w:r>
      <w:r>
        <w:rPr>
          <w:rFonts w:ascii="Times New Roman" w:eastAsia="宋体" w:hAnsi="Times New Roman" w:cs="Times New Roman"/>
          <w:b/>
          <w:color w:val="000000"/>
          <w:sz w:val="24"/>
          <w:szCs w:val="24"/>
        </w:rPr>
        <w:t>年，公司与神舟泰岳、实利通和三方之间开展计算机硬件购销业务，客观上构成循环贸易。根据北京证监局《行政监管措施决定书》的要求，公司进行财务整改，合计影响利润总额</w:t>
      </w:r>
      <w:r>
        <w:rPr>
          <w:rFonts w:ascii="Times New Roman" w:eastAsia="宋体" w:hAnsi="Times New Roman" w:cs="Times New Roman"/>
          <w:b/>
          <w:color w:val="000000"/>
          <w:sz w:val="24"/>
          <w:szCs w:val="24"/>
        </w:rPr>
        <w:t>5810</w:t>
      </w:r>
      <w:r>
        <w:rPr>
          <w:rFonts w:ascii="Times New Roman" w:eastAsia="宋体" w:hAnsi="Times New Roman" w:cs="Times New Roman"/>
          <w:b/>
          <w:color w:val="000000"/>
          <w:sz w:val="24"/>
          <w:szCs w:val="24"/>
        </w:rPr>
        <w:t>万元。目前，标的公司及其母公司大唐半导体仍处于诉讼过程中。请公司补充披露：（</w:t>
      </w: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）财务整改相关会计处理过程及依据，是否符合会计准则要求，是否构成前期差错；</w:t>
      </w:r>
      <w:proofErr w:type="gramStart"/>
      <w:r>
        <w:rPr>
          <w:rFonts w:ascii="Times New Roman" w:eastAsia="宋体" w:hAnsi="Times New Roman" w:cs="Times New Roman"/>
          <w:b/>
          <w:color w:val="000000"/>
          <w:sz w:val="24"/>
          <w:szCs w:val="24"/>
        </w:rPr>
        <w:t>若构成</w:t>
      </w:r>
      <w:proofErr w:type="gramEnd"/>
      <w:r>
        <w:rPr>
          <w:rFonts w:ascii="Times New Roman" w:eastAsia="宋体" w:hAnsi="Times New Roman" w:cs="Times New Roman"/>
          <w:b/>
          <w:color w:val="000000"/>
          <w:sz w:val="24"/>
          <w:szCs w:val="24"/>
        </w:rPr>
        <w:t>前期差错，结合重要性判断是否总要进行追溯调整；（</w:t>
      </w: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）说明前述刑事案件和民事诉讼最新进展情况，相关预计负债是否充分计提，对标的公司财务情况、经营成果、现金流的影响，以及对标的公司持续盈利能力的影响。请财务顾问和会计师发表意见。</w:t>
      </w:r>
    </w:p>
    <w:p w14:paraId="2BD0EBD6"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b/>
          <w:sz w:val="24"/>
        </w:rPr>
        <w:t>回复</w:t>
      </w:r>
      <w:r>
        <w:rPr>
          <w:rFonts w:ascii="Times New Roman" w:hAnsi="Times New Roman" w:cs="Times New Roman" w:hint="eastAsia"/>
          <w:b/>
          <w:sz w:val="24"/>
        </w:rPr>
        <w:t>：</w:t>
      </w:r>
    </w:p>
    <w:p w14:paraId="08F42BB7"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一、财务整改相关会计处理过程及依据，是否符合会计准则要求，是否构成前期差错；</w:t>
      </w:r>
      <w:proofErr w:type="gramStart"/>
      <w:r>
        <w:rPr>
          <w:rFonts w:ascii="Times New Roman" w:eastAsia="宋体" w:hAnsi="Times New Roman" w:cs="Times New Roman" w:hint="eastAsia"/>
          <w:b/>
          <w:bCs/>
          <w:color w:val="000000"/>
          <w:sz w:val="24"/>
          <w:szCs w:val="24"/>
        </w:rPr>
        <w:t>若构成</w:t>
      </w:r>
      <w:proofErr w:type="gramEnd"/>
      <w:r>
        <w:rPr>
          <w:rFonts w:ascii="Times New Roman" w:eastAsia="宋体" w:hAnsi="Times New Roman" w:cs="Times New Roman" w:hint="eastAsia"/>
          <w:b/>
          <w:bCs/>
          <w:color w:val="000000"/>
          <w:sz w:val="24"/>
          <w:szCs w:val="24"/>
        </w:rPr>
        <w:t>前期差错，结合重要性判断是否总要进行追溯调整</w:t>
      </w:r>
    </w:p>
    <w:p w14:paraId="1A3DBD16"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（一）财务整改相关会计处理过程及依据，是否符合会计准则要求</w:t>
      </w:r>
    </w:p>
    <w:p w14:paraId="4D8BB1E9" w14:textId="6E00A908"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公司自</w:t>
      </w:r>
      <w:r>
        <w:rPr>
          <w:rFonts w:ascii="Times New Roman" w:hAnsi="Times New Roman" w:cs="Times New Roman" w:hint="eastAsia"/>
          <w:sz w:val="24"/>
        </w:rPr>
        <w:t>2011</w:t>
      </w:r>
      <w:r>
        <w:rPr>
          <w:rFonts w:ascii="Times New Roman" w:hAnsi="Times New Roman" w:cs="Times New Roman" w:hint="eastAsia"/>
          <w:sz w:val="24"/>
        </w:rPr>
        <w:t>年起开展与实利通和的贸易业务。公司主要从神州泰岳购入</w:t>
      </w:r>
      <w:r>
        <w:rPr>
          <w:rFonts w:ascii="Times New Roman" w:hAnsi="Times New Roman" w:cs="Times New Roman" w:hint="eastAsia"/>
          <w:sz w:val="24"/>
        </w:rPr>
        <w:t>HP</w:t>
      </w:r>
      <w:r>
        <w:rPr>
          <w:rFonts w:ascii="Times New Roman" w:hAnsi="Times New Roman" w:cs="Times New Roman" w:hint="eastAsia"/>
          <w:sz w:val="24"/>
        </w:rPr>
        <w:t>服务器等品牌服务器，然后将产品销售给客户实利通</w:t>
      </w:r>
      <w:proofErr w:type="gramStart"/>
      <w:r>
        <w:rPr>
          <w:rFonts w:ascii="Times New Roman" w:hAnsi="Times New Roman" w:cs="Times New Roman" w:hint="eastAsia"/>
          <w:sz w:val="24"/>
        </w:rPr>
        <w:t>和</w:t>
      </w:r>
      <w:proofErr w:type="gramEnd"/>
      <w:r>
        <w:rPr>
          <w:rFonts w:ascii="Times New Roman" w:hAnsi="Times New Roman" w:cs="Times New Roman" w:hint="eastAsia"/>
          <w:sz w:val="24"/>
        </w:rPr>
        <w:t>。此业务截至</w:t>
      </w:r>
      <w:r>
        <w:rPr>
          <w:rFonts w:ascii="Times New Roman" w:hAnsi="Times New Roman" w:cs="Times New Roman" w:hint="eastAsia"/>
          <w:sz w:val="24"/>
        </w:rPr>
        <w:t>2017</w:t>
      </w:r>
      <w:r>
        <w:rPr>
          <w:rFonts w:ascii="Times New Roman" w:hAnsi="Times New Roman" w:cs="Times New Roman" w:hint="eastAsia"/>
          <w:sz w:val="24"/>
        </w:rPr>
        <w:t>年</w:t>
      </w:r>
      <w:r>
        <w:rPr>
          <w:rFonts w:ascii="Times New Roman" w:hAnsi="Times New Roman" w:cs="Times New Roman" w:hint="eastAsia"/>
          <w:sz w:val="24"/>
        </w:rPr>
        <w:t>6</w:t>
      </w:r>
      <w:r>
        <w:rPr>
          <w:rFonts w:ascii="Times New Roman" w:hAnsi="Times New Roman" w:cs="Times New Roman" w:hint="eastAsia"/>
          <w:sz w:val="24"/>
        </w:rPr>
        <w:t>月前，三方公司未出现拖欠货款、延迟交付等情况。</w:t>
      </w:r>
    </w:p>
    <w:p w14:paraId="033504F9"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2017</w:t>
      </w:r>
      <w:r>
        <w:rPr>
          <w:rFonts w:ascii="Times New Roman" w:hAnsi="Times New Roman" w:cs="Times New Roman" w:hint="eastAsia"/>
          <w:sz w:val="24"/>
        </w:rPr>
        <w:t>年</w:t>
      </w:r>
      <w:r>
        <w:rPr>
          <w:rFonts w:ascii="Times New Roman" w:hAnsi="Times New Roman" w:cs="Times New Roman" w:hint="eastAsia"/>
          <w:sz w:val="24"/>
        </w:rPr>
        <w:t>6</w:t>
      </w:r>
      <w:r>
        <w:rPr>
          <w:rFonts w:ascii="Times New Roman" w:hAnsi="Times New Roman" w:cs="Times New Roman" w:hint="eastAsia"/>
          <w:sz w:val="24"/>
        </w:rPr>
        <w:t>月，实利通和开始出现给付货款困难，从而导致公司未能按期收款。实利通和出现此情况后，公司在追讨欠款过程中，发现其实际控制人刘宇阳出境美国且拒不返回，此外还发</w:t>
      </w:r>
      <w:proofErr w:type="gramStart"/>
      <w:r>
        <w:rPr>
          <w:rFonts w:ascii="Times New Roman" w:hAnsi="Times New Roman" w:cs="Times New Roman" w:hint="eastAsia"/>
          <w:sz w:val="24"/>
        </w:rPr>
        <w:t>现实利</w:t>
      </w:r>
      <w:proofErr w:type="gramEnd"/>
      <w:r>
        <w:rPr>
          <w:rFonts w:ascii="Times New Roman" w:hAnsi="Times New Roman" w:cs="Times New Roman" w:hint="eastAsia"/>
          <w:sz w:val="24"/>
        </w:rPr>
        <w:t>通和存在向神州泰岳公司销售服务器等设备的嫌疑，公司怀疑交易环节存在循环交易的可能，公司利益可能受到侵害。</w:t>
      </w:r>
    </w:p>
    <w:p w14:paraId="240C8951"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2017</w:t>
      </w:r>
      <w:r>
        <w:rPr>
          <w:rFonts w:ascii="Times New Roman" w:hAnsi="Times New Roman" w:cs="Times New Roman" w:hint="eastAsia"/>
          <w:sz w:val="24"/>
        </w:rPr>
        <w:t>年</w:t>
      </w:r>
      <w:r>
        <w:rPr>
          <w:rFonts w:ascii="Times New Roman" w:hAnsi="Times New Roman" w:cs="Times New Roman" w:hint="eastAsia"/>
          <w:sz w:val="24"/>
        </w:rPr>
        <w:t>8</w:t>
      </w:r>
      <w:r>
        <w:rPr>
          <w:rFonts w:ascii="Times New Roman" w:hAnsi="Times New Roman" w:cs="Times New Roman" w:hint="eastAsia"/>
          <w:sz w:val="24"/>
        </w:rPr>
        <w:t>月</w:t>
      </w:r>
      <w:r>
        <w:rPr>
          <w:rFonts w:ascii="Times New Roman" w:hAnsi="Times New Roman" w:cs="Times New Roman" w:hint="eastAsia"/>
          <w:sz w:val="24"/>
        </w:rPr>
        <w:t>30</w:t>
      </w:r>
      <w:r>
        <w:rPr>
          <w:rFonts w:ascii="Times New Roman" w:hAnsi="Times New Roman" w:cs="Times New Roman" w:hint="eastAsia"/>
          <w:sz w:val="24"/>
        </w:rPr>
        <w:t>日，公司就实利通和及其实际控制人涉嫌合同诈骗向北京市公安局经侦总队刑事举报。</w:t>
      </w:r>
      <w:r>
        <w:rPr>
          <w:rFonts w:ascii="Times New Roman" w:hAnsi="Times New Roman" w:cs="Times New Roman"/>
          <w:sz w:val="24"/>
        </w:rPr>
        <w:t>2017</w:t>
      </w:r>
      <w:r>
        <w:rPr>
          <w:rFonts w:ascii="Times New Roman" w:hAnsi="Times New Roman" w:cs="Times New Roman" w:hint="eastAsia"/>
          <w:sz w:val="24"/>
        </w:rPr>
        <w:t>年</w:t>
      </w:r>
      <w:r>
        <w:rPr>
          <w:rFonts w:ascii="Times New Roman" w:hAnsi="Times New Roman" w:cs="Times New Roman"/>
          <w:sz w:val="24"/>
        </w:rPr>
        <w:t>11</w:t>
      </w:r>
      <w:r>
        <w:rPr>
          <w:rFonts w:ascii="Times New Roman" w:hAnsi="Times New Roman" w:cs="Times New Roman" w:hint="eastAsia"/>
          <w:sz w:val="24"/>
        </w:rPr>
        <w:t>月</w:t>
      </w:r>
      <w:r>
        <w:rPr>
          <w:rFonts w:ascii="Times New Roman" w:hAnsi="Times New Roman" w:cs="Times New Roman"/>
          <w:sz w:val="24"/>
        </w:rPr>
        <w:t>20</w:t>
      </w:r>
      <w:r>
        <w:rPr>
          <w:rFonts w:ascii="Times New Roman" w:hAnsi="Times New Roman" w:cs="Times New Roman" w:hint="eastAsia"/>
          <w:sz w:val="24"/>
        </w:rPr>
        <w:t>日，北京市公安局海淀分局出具了《立案告知书》正式立案。截至目前，案件仍在刑事调查过程中。</w:t>
      </w:r>
    </w:p>
    <w:p w14:paraId="0FFCBF80" w14:textId="2A618BAC"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2020</w:t>
      </w:r>
      <w:r>
        <w:rPr>
          <w:rFonts w:ascii="Times New Roman" w:hAnsi="Times New Roman" w:cs="Times New Roman" w:hint="eastAsia"/>
          <w:sz w:val="24"/>
        </w:rPr>
        <w:t>年下半年，北京证监局在对辖区内上市公司的现场检查工作中，对神州泰岳进行了现场检查并就实利通和业务从公司获取了历史业务资料及数据。通</w:t>
      </w:r>
      <w:r>
        <w:rPr>
          <w:rFonts w:ascii="Times New Roman" w:hAnsi="Times New Roman" w:cs="Times New Roman" w:hint="eastAsia"/>
          <w:sz w:val="24"/>
        </w:rPr>
        <w:lastRenderedPageBreak/>
        <w:t>过对公司和神州泰岳历史业务资料的比对，及对公安机关掌握的卷宗的查证后，北京证监局认为公司从神州泰岳采购，销售给实利通和及其关联方的购销业务客观上构成三方循环贸易。</w:t>
      </w:r>
      <w:r>
        <w:rPr>
          <w:rFonts w:ascii="Times New Roman" w:hAnsi="Times New Roman" w:cs="Times New Roman" w:hint="eastAsia"/>
          <w:sz w:val="24"/>
        </w:rPr>
        <w:t>2021</w:t>
      </w:r>
      <w:r>
        <w:rPr>
          <w:rFonts w:ascii="Times New Roman" w:hAnsi="Times New Roman" w:cs="Times New Roman" w:hint="eastAsia"/>
          <w:sz w:val="24"/>
        </w:rPr>
        <w:t>年</w:t>
      </w:r>
      <w:r>
        <w:rPr>
          <w:rFonts w:ascii="Times New Roman" w:hAnsi="Times New Roman" w:cs="Times New Roman" w:hint="eastAsia"/>
          <w:sz w:val="24"/>
        </w:rPr>
        <w:t>3</w:t>
      </w:r>
      <w:r>
        <w:rPr>
          <w:rFonts w:ascii="Times New Roman" w:hAnsi="Times New Roman" w:cs="Times New Roman" w:hint="eastAsia"/>
          <w:sz w:val="24"/>
        </w:rPr>
        <w:t>月</w:t>
      </w:r>
      <w:r>
        <w:rPr>
          <w:rFonts w:ascii="Times New Roman" w:hAnsi="Times New Roman" w:cs="Times New Roman" w:hint="eastAsia"/>
          <w:sz w:val="24"/>
        </w:rPr>
        <w:t>10</w:t>
      </w:r>
      <w:r>
        <w:rPr>
          <w:rFonts w:ascii="Times New Roman" w:hAnsi="Times New Roman" w:cs="Times New Roman" w:hint="eastAsia"/>
          <w:sz w:val="24"/>
        </w:rPr>
        <w:t>日，北京证监局对公司下发了《关于对大唐电信科技股份有限公司采取责令改正措施的决定》，认为公司实利通和业务的会计核算依据不充分，要求公司更正相关财务信息。结合监管机构对实利通和业务的调查结论以及公司进一步掌握的证据，公司进行了账</w:t>
      </w:r>
      <w:proofErr w:type="gramStart"/>
      <w:r>
        <w:rPr>
          <w:rFonts w:ascii="Times New Roman" w:hAnsi="Times New Roman" w:cs="Times New Roman" w:hint="eastAsia"/>
          <w:sz w:val="24"/>
        </w:rPr>
        <w:t>务</w:t>
      </w:r>
      <w:proofErr w:type="gramEnd"/>
      <w:r>
        <w:rPr>
          <w:rFonts w:ascii="Times New Roman" w:hAnsi="Times New Roman" w:cs="Times New Roman" w:hint="eastAsia"/>
          <w:sz w:val="24"/>
        </w:rPr>
        <w:t>整改，具体过程如下：</w:t>
      </w:r>
    </w:p>
    <w:p w14:paraId="6E4B3829"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hint="eastAsia"/>
          <w:sz w:val="24"/>
        </w:rPr>
        <w:t>、该业务存在被判定为合同无效的风险，对以往相关交易产生的利得进行冲销</w:t>
      </w:r>
    </w:p>
    <w:p w14:paraId="56B6729B"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参照同类司法判例，在公司与神州泰岳、实利通和三方贸易构成循环交易的情况下，各方签订的《买卖合同》有可能被认定为合同无效。根据《合同法》第五十八条的规定，合同无效，因该合同取得的财产应当予以返还。</w:t>
      </w:r>
    </w:p>
    <w:p w14:paraId="30578BF0"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依据上述</w:t>
      </w:r>
      <w:r>
        <w:rPr>
          <w:rFonts w:ascii="Times New Roman" w:hAnsi="Times New Roman" w:cs="Times New Roman" w:hint="eastAsia"/>
          <w:sz w:val="24"/>
        </w:rPr>
        <w:t>2020</w:t>
      </w:r>
      <w:r>
        <w:rPr>
          <w:rFonts w:ascii="Times New Roman" w:hAnsi="Times New Roman" w:cs="Times New Roman" w:hint="eastAsia"/>
          <w:sz w:val="24"/>
        </w:rPr>
        <w:t>年公司获取的最新信息，结合相关法律规定，如果判定为合同无效，相关款项有可能会被要求原路返还，公司在贸易业务中共确认的毛利</w:t>
      </w:r>
      <w:r>
        <w:rPr>
          <w:rFonts w:ascii="Times New Roman" w:hAnsi="Times New Roman" w:cs="Times New Roman" w:hint="eastAsia"/>
          <w:sz w:val="24"/>
        </w:rPr>
        <w:t>5,471.63</w:t>
      </w:r>
      <w:r>
        <w:rPr>
          <w:rFonts w:ascii="Times New Roman" w:hAnsi="Times New Roman" w:cs="Times New Roman" w:hint="eastAsia"/>
          <w:sz w:val="24"/>
        </w:rPr>
        <w:t>万元（其中大唐微电子涉及金额</w:t>
      </w:r>
      <w:r>
        <w:rPr>
          <w:rFonts w:ascii="Times New Roman" w:hAnsi="Times New Roman" w:cs="Times New Roman" w:hint="eastAsia"/>
          <w:sz w:val="24"/>
        </w:rPr>
        <w:t>2,254.17</w:t>
      </w:r>
      <w:r>
        <w:rPr>
          <w:rFonts w:ascii="Times New Roman" w:hAnsi="Times New Roman" w:cs="Times New Roman" w:hint="eastAsia"/>
          <w:sz w:val="24"/>
        </w:rPr>
        <w:t>万元）则有可能被判定为应</w:t>
      </w:r>
      <w:proofErr w:type="gramStart"/>
      <w:r>
        <w:rPr>
          <w:rFonts w:ascii="Times New Roman" w:hAnsi="Times New Roman" w:cs="Times New Roman" w:hint="eastAsia"/>
          <w:sz w:val="24"/>
        </w:rPr>
        <w:t>予退</w:t>
      </w:r>
      <w:proofErr w:type="gramEnd"/>
      <w:r>
        <w:rPr>
          <w:rFonts w:ascii="Times New Roman" w:hAnsi="Times New Roman" w:cs="Times New Roman" w:hint="eastAsia"/>
          <w:sz w:val="24"/>
        </w:rPr>
        <w:t>还。另一方面，公司对实利通和与神州泰岳另行签订销售合同从而构成循环交易的情况事先并不知情且自身利益遭受重大损害，不应对任何交易对手方产生除已获取的</w:t>
      </w:r>
      <w:r>
        <w:rPr>
          <w:rFonts w:ascii="Times New Roman" w:hAnsi="Times New Roman" w:cs="Times New Roman" w:hint="eastAsia"/>
          <w:sz w:val="24"/>
        </w:rPr>
        <w:t>5,471.63</w:t>
      </w:r>
      <w:r>
        <w:rPr>
          <w:rFonts w:ascii="Times New Roman" w:hAnsi="Times New Roman" w:cs="Times New Roman" w:hint="eastAsia"/>
          <w:sz w:val="24"/>
        </w:rPr>
        <w:t>万元收益外的额外赔付义务。因此，公司在</w:t>
      </w:r>
      <w:r>
        <w:rPr>
          <w:rFonts w:ascii="Times New Roman" w:hAnsi="Times New Roman" w:cs="Times New Roman" w:hint="eastAsia"/>
          <w:sz w:val="24"/>
        </w:rPr>
        <w:t>2020</w:t>
      </w:r>
      <w:r>
        <w:rPr>
          <w:rFonts w:ascii="Times New Roman" w:hAnsi="Times New Roman" w:cs="Times New Roman" w:hint="eastAsia"/>
          <w:sz w:val="24"/>
        </w:rPr>
        <w:t>年将很可能无法收回的业务毛利对应的应收款项账面价值</w:t>
      </w:r>
      <w:r>
        <w:rPr>
          <w:rFonts w:ascii="Times New Roman" w:hAnsi="Times New Roman" w:cs="Times New Roman" w:hint="eastAsia"/>
          <w:sz w:val="24"/>
        </w:rPr>
        <w:t>2,254.17</w:t>
      </w:r>
      <w:r>
        <w:rPr>
          <w:rFonts w:ascii="Times New Roman" w:hAnsi="Times New Roman" w:cs="Times New Roman" w:hint="eastAsia"/>
          <w:sz w:val="24"/>
        </w:rPr>
        <w:t>万元作为非常损失项目列支。</w:t>
      </w:r>
    </w:p>
    <w:p w14:paraId="29A031AF"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hint="eastAsia"/>
          <w:sz w:val="24"/>
        </w:rPr>
        <w:t>、对剩余应收款项进一步进行减值计提</w:t>
      </w:r>
    </w:p>
    <w:p w14:paraId="019EC299"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刑事方面，考虑到公安机关对实利通和案件的调查尚未结束，民事诉讼也尚无定论，在此条件下，即便后续买卖合同被认为无效，公司后续通过民事诉讼途径对已向神州泰岳支付的款项进行追索也面临极大困难，加之实利通和公司已丧失偿债能力，公司账面应收款项以各种途径进行收回的可能性均进一步下降，因此，出于谨慎性考虑，公司对应收实利通和的款项进一步全额计提减值准备，</w:t>
      </w:r>
      <w:r>
        <w:rPr>
          <w:rFonts w:ascii="Times New Roman" w:hAnsi="Times New Roman" w:cs="Times New Roman" w:hint="eastAsia"/>
          <w:sz w:val="24"/>
        </w:rPr>
        <w:t>2020</w:t>
      </w:r>
      <w:r>
        <w:rPr>
          <w:rFonts w:ascii="Times New Roman" w:hAnsi="Times New Roman" w:cs="Times New Roman" w:hint="eastAsia"/>
          <w:sz w:val="24"/>
        </w:rPr>
        <w:t>年度当年补提坏账准备</w:t>
      </w:r>
      <w:r>
        <w:rPr>
          <w:rFonts w:ascii="Times New Roman" w:hAnsi="Times New Roman" w:cs="Times New Roman" w:hint="eastAsia"/>
          <w:sz w:val="24"/>
        </w:rPr>
        <w:t>3,555.98</w:t>
      </w:r>
      <w:r>
        <w:rPr>
          <w:rFonts w:ascii="Times New Roman" w:hAnsi="Times New Roman" w:cs="Times New Roman" w:hint="eastAsia"/>
          <w:sz w:val="24"/>
        </w:rPr>
        <w:t>万元。</w:t>
      </w:r>
    </w:p>
    <w:p w14:paraId="429C07A7"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公司本次账务整改中涉及的会计处理系根据北京证监局对相关事实的认定、诉讼进展、企业会计准则等做出的，在所有重大方面符合《企业会计准则》的相</w:t>
      </w:r>
      <w:r>
        <w:rPr>
          <w:rFonts w:ascii="Times New Roman" w:hAnsi="Times New Roman" w:cs="Times New Roman" w:hint="eastAsia"/>
          <w:sz w:val="24"/>
        </w:rPr>
        <w:lastRenderedPageBreak/>
        <w:t>关规定。</w:t>
      </w:r>
    </w:p>
    <w:p w14:paraId="76DE619D"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（二）是否构成前期差错，</w:t>
      </w:r>
      <w:proofErr w:type="gramStart"/>
      <w:r>
        <w:rPr>
          <w:rFonts w:ascii="Times New Roman" w:eastAsia="宋体" w:hAnsi="Times New Roman" w:cs="Times New Roman" w:hint="eastAsia"/>
          <w:b/>
          <w:bCs/>
          <w:color w:val="000000"/>
          <w:sz w:val="24"/>
          <w:szCs w:val="24"/>
        </w:rPr>
        <w:t>若构成</w:t>
      </w:r>
      <w:proofErr w:type="gramEnd"/>
      <w:r>
        <w:rPr>
          <w:rFonts w:ascii="Times New Roman" w:eastAsia="宋体" w:hAnsi="Times New Roman" w:cs="Times New Roman" w:hint="eastAsia"/>
          <w:b/>
          <w:bCs/>
          <w:color w:val="000000"/>
          <w:sz w:val="24"/>
          <w:szCs w:val="24"/>
        </w:rPr>
        <w:t>前期差错，结合重要性判断是否总要进行追溯调整</w:t>
      </w:r>
    </w:p>
    <w:p w14:paraId="4C53C86F"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《企业会计准则第</w:t>
      </w:r>
      <w:r>
        <w:rPr>
          <w:rFonts w:ascii="Times New Roman" w:hAnsi="Times New Roman" w:cs="Times New Roman" w:hint="eastAsia"/>
          <w:sz w:val="24"/>
        </w:rPr>
        <w:t>28</w:t>
      </w:r>
      <w:r>
        <w:rPr>
          <w:rFonts w:ascii="Times New Roman" w:hAnsi="Times New Roman" w:cs="Times New Roman" w:hint="eastAsia"/>
          <w:sz w:val="24"/>
        </w:rPr>
        <w:t>号——会计政策、会计估计变更和差错更正》第十一条规定：前期差错，是指由于没有运用或错误运用下列两种信息，而对前期财务报表造成省略或错报：（</w:t>
      </w:r>
      <w:r>
        <w:rPr>
          <w:rFonts w:ascii="Times New Roman" w:hAnsi="Times New Roman" w:cs="Times New Roman" w:hint="eastAsia"/>
          <w:sz w:val="24"/>
        </w:rPr>
        <w:t>1</w:t>
      </w:r>
      <w:r>
        <w:rPr>
          <w:rFonts w:ascii="Times New Roman" w:hAnsi="Times New Roman" w:cs="Times New Roman" w:hint="eastAsia"/>
          <w:sz w:val="24"/>
        </w:rPr>
        <w:t>）编报前期财务报表时预期能够取得并加以考虑的可靠信息；（</w:t>
      </w:r>
      <w:r>
        <w:rPr>
          <w:rFonts w:ascii="Times New Roman" w:hAnsi="Times New Roman" w:cs="Times New Roman" w:hint="eastAsia"/>
          <w:sz w:val="24"/>
        </w:rPr>
        <w:t>2</w:t>
      </w:r>
      <w:r>
        <w:rPr>
          <w:rFonts w:ascii="Times New Roman" w:hAnsi="Times New Roman" w:cs="Times New Roman" w:hint="eastAsia"/>
          <w:sz w:val="24"/>
        </w:rPr>
        <w:t>）前期财务报告批准报出时能够取得的可靠信息。前期差错通常包括计算错误、应用会计政策错误、疏忽或曲解事实以及舞弊产生的影响以及存货、固定资产盘盈等。</w:t>
      </w:r>
    </w:p>
    <w:p w14:paraId="453D22AA" w14:textId="30FFDCE1"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会计处理应当以时点当下所能获取的信息进行判断，不应按照后续进一步新的信息将前期处理认定为会计差错。在以往年度，公司对实利通和与神州泰岳另行签订销售合同构成循环交易的情况并不知情，且该事项在</w:t>
      </w:r>
      <w:r>
        <w:rPr>
          <w:rFonts w:ascii="Times New Roman" w:hAnsi="Times New Roman" w:cs="Times New Roman" w:hint="eastAsia"/>
          <w:sz w:val="24"/>
        </w:rPr>
        <w:t>2020</w:t>
      </w:r>
      <w:r>
        <w:rPr>
          <w:rFonts w:ascii="Times New Roman" w:hAnsi="Times New Roman" w:cs="Times New Roman" w:hint="eastAsia"/>
          <w:sz w:val="24"/>
        </w:rPr>
        <w:t>年监管机构对两家公司的历史交易情况同时进行检查前无明确定论，公司是基于当时能够获得的信息进行判断，并非未运用或者错误运用在交易发生时点能够取得并加以考虑的可靠信息。因此，公司认为该事项不构成会计差错，公司于</w:t>
      </w:r>
      <w:r>
        <w:rPr>
          <w:rFonts w:ascii="Times New Roman" w:hAnsi="Times New Roman" w:cs="Times New Roman" w:hint="eastAsia"/>
          <w:sz w:val="24"/>
        </w:rPr>
        <w:t>2020</w:t>
      </w:r>
      <w:r>
        <w:rPr>
          <w:rFonts w:ascii="Times New Roman" w:hAnsi="Times New Roman" w:cs="Times New Roman" w:hint="eastAsia"/>
          <w:sz w:val="24"/>
        </w:rPr>
        <w:t>年进行账务整改更为合理。</w:t>
      </w:r>
    </w:p>
    <w:p w14:paraId="5567B384" w14:textId="66B56A81"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综上所述，公司认为，根据《企业会计准则第</w:t>
      </w:r>
      <w:r>
        <w:rPr>
          <w:rFonts w:ascii="Times New Roman" w:hAnsi="Times New Roman" w:cs="Times New Roman" w:hint="eastAsia"/>
          <w:sz w:val="24"/>
        </w:rPr>
        <w:t>28</w:t>
      </w:r>
      <w:r>
        <w:rPr>
          <w:rFonts w:ascii="Times New Roman" w:hAnsi="Times New Roman" w:cs="Times New Roman" w:hint="eastAsia"/>
          <w:sz w:val="24"/>
        </w:rPr>
        <w:t>号——会计政策、会计估计变更和差错更正》的规定，公司编制及报出前期财务报告时依据当时的信息，不存在前期差错，公司无需对前期财务报告进行追溯调整。</w:t>
      </w:r>
    </w:p>
    <w:p w14:paraId="065EAE0A"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二、说明前述刑事案件和民事诉讼最新进展情况，相关预计负债是否充分计提，对标的公司财务情况、经营成果、现金流的影响，以及对标的公司持续盈利能力的影响。</w:t>
      </w:r>
    </w:p>
    <w:p w14:paraId="79477C5D" w14:textId="6A6F4C3F"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sz w:val="24"/>
        </w:rPr>
        <w:t>2017</w:t>
      </w:r>
      <w:r>
        <w:rPr>
          <w:rFonts w:ascii="Times New Roman" w:hAnsi="Times New Roman" w:cs="Times New Roman" w:hint="eastAsia"/>
          <w:sz w:val="24"/>
        </w:rPr>
        <w:t>年</w:t>
      </w:r>
      <w:r>
        <w:rPr>
          <w:rFonts w:ascii="Times New Roman" w:hAnsi="Times New Roman" w:cs="Times New Roman"/>
          <w:sz w:val="24"/>
        </w:rPr>
        <w:t>11</w:t>
      </w:r>
      <w:r>
        <w:rPr>
          <w:rFonts w:ascii="Times New Roman" w:hAnsi="Times New Roman" w:cs="Times New Roman" w:hint="eastAsia"/>
          <w:sz w:val="24"/>
        </w:rPr>
        <w:t>月</w:t>
      </w:r>
      <w:r>
        <w:rPr>
          <w:rFonts w:ascii="Times New Roman" w:hAnsi="Times New Roman" w:cs="Times New Roman"/>
          <w:sz w:val="24"/>
        </w:rPr>
        <w:t>20</w:t>
      </w:r>
      <w:r>
        <w:rPr>
          <w:rFonts w:ascii="Times New Roman" w:hAnsi="Times New Roman" w:cs="Times New Roman" w:hint="eastAsia"/>
          <w:sz w:val="24"/>
        </w:rPr>
        <w:t>日，北京市公安局海淀分局对该案正式立案，截至目前，前述案件的刑事方面仍在调查过程中。民事方面，</w:t>
      </w:r>
      <w:r>
        <w:rPr>
          <w:rFonts w:ascii="Times New Roman" w:hAnsi="Times New Roman" w:cs="Times New Roman" w:hint="eastAsia"/>
          <w:sz w:val="24"/>
        </w:rPr>
        <w:t>2021</w:t>
      </w:r>
      <w:r>
        <w:rPr>
          <w:rFonts w:ascii="Times New Roman" w:hAnsi="Times New Roman" w:cs="Times New Roman" w:hint="eastAsia"/>
          <w:sz w:val="24"/>
        </w:rPr>
        <w:t>年</w:t>
      </w:r>
      <w:r>
        <w:rPr>
          <w:rFonts w:ascii="Times New Roman" w:hAnsi="Times New Roman" w:cs="Times New Roman" w:hint="eastAsia"/>
          <w:sz w:val="24"/>
        </w:rPr>
        <w:t>2</w:t>
      </w:r>
      <w:r>
        <w:rPr>
          <w:rFonts w:ascii="Times New Roman" w:hAnsi="Times New Roman" w:cs="Times New Roman" w:hint="eastAsia"/>
          <w:sz w:val="24"/>
        </w:rPr>
        <w:t>月，神州泰岳再次向北京市海淀区人民法院提起诉讼，要求公司支付合同款项及相应违约金。北京海淀区人民法院立案受理后，于</w:t>
      </w:r>
      <w:r>
        <w:rPr>
          <w:rFonts w:ascii="Times New Roman" w:hAnsi="Times New Roman" w:cs="Times New Roman" w:hint="eastAsia"/>
          <w:sz w:val="24"/>
        </w:rPr>
        <w:t>2021</w:t>
      </w:r>
      <w:r>
        <w:rPr>
          <w:rFonts w:ascii="Times New Roman" w:hAnsi="Times New Roman" w:cs="Times New Roman" w:hint="eastAsia"/>
          <w:sz w:val="24"/>
        </w:rPr>
        <w:t>年</w:t>
      </w:r>
      <w:r>
        <w:rPr>
          <w:rFonts w:ascii="Times New Roman" w:hAnsi="Times New Roman" w:cs="Times New Roman" w:hint="eastAsia"/>
          <w:sz w:val="24"/>
        </w:rPr>
        <w:t>4</w:t>
      </w:r>
      <w:r>
        <w:rPr>
          <w:rFonts w:ascii="Times New Roman" w:hAnsi="Times New Roman" w:cs="Times New Roman" w:hint="eastAsia"/>
          <w:sz w:val="24"/>
        </w:rPr>
        <w:t>月初裁定驳回神州泰岳的起诉，北京市海淀区人民法院认为：北京市第一中级人民法院曾就本案</w:t>
      </w:r>
      <w:proofErr w:type="gramStart"/>
      <w:r>
        <w:rPr>
          <w:rFonts w:ascii="Times New Roman" w:hAnsi="Times New Roman" w:cs="Times New Roman" w:hint="eastAsia"/>
          <w:sz w:val="24"/>
        </w:rPr>
        <w:t>作出</w:t>
      </w:r>
      <w:proofErr w:type="gramEnd"/>
      <w:r>
        <w:rPr>
          <w:rFonts w:ascii="Times New Roman" w:hAnsi="Times New Roman" w:cs="Times New Roman" w:hint="eastAsia"/>
          <w:sz w:val="24"/>
        </w:rPr>
        <w:t>终审裁定，本案审理需以刑事案件的处理结果为前提，故裁定驳回神州泰岳的起诉。神州泰岳不</w:t>
      </w:r>
      <w:r>
        <w:rPr>
          <w:rFonts w:ascii="Times New Roman" w:hAnsi="Times New Roman" w:cs="Times New Roman" w:hint="eastAsia"/>
          <w:sz w:val="24"/>
        </w:rPr>
        <w:lastRenderedPageBreak/>
        <w:t>服一审裁定，向北京市第一中级人民法院提起上诉。</w:t>
      </w:r>
      <w:r>
        <w:rPr>
          <w:rFonts w:ascii="Times New Roman" w:hAnsi="Times New Roman" w:cs="Times New Roman" w:hint="eastAsia"/>
          <w:sz w:val="24"/>
        </w:rPr>
        <w:t>2021</w:t>
      </w:r>
      <w:r>
        <w:rPr>
          <w:rFonts w:ascii="Times New Roman" w:hAnsi="Times New Roman" w:cs="Times New Roman" w:hint="eastAsia"/>
          <w:sz w:val="24"/>
        </w:rPr>
        <w:t>年</w:t>
      </w:r>
      <w:r>
        <w:rPr>
          <w:rFonts w:ascii="Times New Roman" w:hAnsi="Times New Roman" w:cs="Times New Roman" w:hint="eastAsia"/>
          <w:sz w:val="24"/>
        </w:rPr>
        <w:t>7</w:t>
      </w:r>
      <w:r>
        <w:rPr>
          <w:rFonts w:ascii="Times New Roman" w:hAnsi="Times New Roman" w:cs="Times New Roman" w:hint="eastAsia"/>
          <w:sz w:val="24"/>
        </w:rPr>
        <w:t>月初，公司收到北京市第一中级人民法院送达的终审民事裁定书，法院认为，神州泰岳的上诉请求不能成立，一审裁定认定事实清楚、适用法律正确，故裁定驳回上诉，维持原裁定。综上，案件进入实体审理的时间尚不明确，案件结果尚不能判断。截至本次问询函回复日，情况仍未发生变化。</w:t>
      </w:r>
    </w:p>
    <w:p w14:paraId="467AE79B"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前述循环交易事项中，大唐微电子对实利通和尚有</w:t>
      </w:r>
      <w:r>
        <w:rPr>
          <w:rFonts w:ascii="Times New Roman" w:hAnsi="Times New Roman" w:cs="Times New Roman"/>
          <w:sz w:val="24"/>
        </w:rPr>
        <w:t>17,113.00</w:t>
      </w:r>
      <w:r>
        <w:rPr>
          <w:rFonts w:ascii="Times New Roman" w:hAnsi="Times New Roman" w:cs="Times New Roman"/>
          <w:sz w:val="24"/>
        </w:rPr>
        <w:t>万元货款未收回，已全额计提减值准备，应付神州泰岳的</w:t>
      </w:r>
      <w:proofErr w:type="gramStart"/>
      <w:r>
        <w:rPr>
          <w:rFonts w:ascii="Times New Roman" w:hAnsi="Times New Roman" w:cs="Times New Roman"/>
          <w:sz w:val="24"/>
        </w:rPr>
        <w:t>采购款</w:t>
      </w:r>
      <w:r>
        <w:rPr>
          <w:rFonts w:ascii="Times New Roman" w:hAnsi="Times New Roman" w:cs="Times New Roman" w:hint="eastAsia"/>
          <w:sz w:val="24"/>
        </w:rPr>
        <w:t>大</w:t>
      </w:r>
      <w:proofErr w:type="gramEnd"/>
      <w:r>
        <w:rPr>
          <w:rFonts w:ascii="Times New Roman" w:hAnsi="Times New Roman" w:cs="Times New Roman" w:hint="eastAsia"/>
          <w:sz w:val="24"/>
        </w:rPr>
        <w:t>唐微电子</w:t>
      </w:r>
      <w:r>
        <w:rPr>
          <w:rFonts w:ascii="Times New Roman" w:hAnsi="Times New Roman" w:cs="Times New Roman"/>
          <w:sz w:val="24"/>
        </w:rPr>
        <w:t>也已按合同金额</w:t>
      </w:r>
      <w:r>
        <w:rPr>
          <w:rFonts w:ascii="Times New Roman" w:hAnsi="Times New Roman" w:cs="Times New Roman" w:hint="eastAsia"/>
          <w:sz w:val="24"/>
        </w:rPr>
        <w:t>9,757.84</w:t>
      </w:r>
      <w:r>
        <w:rPr>
          <w:rFonts w:ascii="Times New Roman" w:hAnsi="Times New Roman" w:cs="Times New Roman" w:hint="eastAsia"/>
          <w:sz w:val="24"/>
        </w:rPr>
        <w:t>万元</w:t>
      </w:r>
      <w:r>
        <w:rPr>
          <w:rFonts w:ascii="Times New Roman" w:hAnsi="Times New Roman" w:cs="Times New Roman"/>
          <w:sz w:val="24"/>
        </w:rPr>
        <w:t>全额挂账，目前案件仍在刑事</w:t>
      </w:r>
      <w:r>
        <w:rPr>
          <w:rFonts w:ascii="Times New Roman" w:hAnsi="Times New Roman" w:cs="Times New Roman" w:hint="eastAsia"/>
          <w:sz w:val="24"/>
        </w:rPr>
        <w:t>调查过程中，尚未开始实体审理，大唐微电子根据企业会计准则判断无需进一步计提预计负债。</w:t>
      </w:r>
    </w:p>
    <w:p w14:paraId="74140DD5"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将根据案件进展情况考虑后续账务处理，无论案件后续判决结果如何，均不会对大唐微电子的财务情况及经营成果产生进一步的负面影响。若最终法院判决神州泰岳胜诉，则大唐微电子需履行对神州泰岳的付款义务，可能形成资金流出。考虑到大唐微电子未来的盈利情况及资金流情况，将不会对公司自身的持续盈利能力产生影响。</w:t>
      </w:r>
    </w:p>
    <w:p w14:paraId="40638D21"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三、独立财务顾问核查意见</w:t>
      </w:r>
    </w:p>
    <w:p w14:paraId="67C19ED3" w14:textId="3CF4D25A"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经核查，</w:t>
      </w:r>
      <w:proofErr w:type="gramStart"/>
      <w:r>
        <w:rPr>
          <w:rFonts w:ascii="Times New Roman" w:hAnsi="Times New Roman" w:cs="Times New Roman" w:hint="eastAsia"/>
          <w:sz w:val="24"/>
        </w:rPr>
        <w:t>本独立</w:t>
      </w:r>
      <w:proofErr w:type="gramEnd"/>
      <w:r>
        <w:rPr>
          <w:rFonts w:ascii="Times New Roman" w:hAnsi="Times New Roman" w:cs="Times New Roman" w:hint="eastAsia"/>
          <w:sz w:val="24"/>
        </w:rPr>
        <w:t>财务顾问认为：</w:t>
      </w:r>
      <w:r>
        <w:rPr>
          <w:rFonts w:ascii="Times New Roman" w:eastAsia="宋体" w:hAnsi="Times New Roman" w:cs="Times New Roman" w:hint="eastAsia"/>
          <w:sz w:val="24"/>
        </w:rPr>
        <w:t>与上述事项有关的财务整改相关会计处理在所有重大方面符合会计准则要求，不构成前期差错，不需要进行追溯调整；结合前述刑事案件和民事诉讼最新进展情况，相关预计负债计提充分，案件后续判决结果不会对大唐微电子的财务情况及经营成果产生进一步的负面影响；如果大唐微电子败诉，可能形成大额资金流出，基于大唐微电子目前的盈利情况及资金流情况，未发现该等资金流出会对公司自身的持续盈利能力产生重大影响。</w:t>
      </w:r>
    </w:p>
    <w:p w14:paraId="09F6ED42"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四、会计师核查意见</w:t>
      </w:r>
    </w:p>
    <w:p w14:paraId="3D1DC044" w14:textId="17369EE4" w:rsidR="00BD3166" w:rsidRDefault="00C64679" w:rsidP="00E367D8">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经核查，会计师认为：</w:t>
      </w:r>
      <w:r>
        <w:rPr>
          <w:rFonts w:ascii="Times New Roman" w:eastAsia="宋体" w:hAnsi="Times New Roman" w:cs="Times New Roman" w:hint="eastAsia"/>
          <w:bCs/>
          <w:color w:val="000000"/>
          <w:sz w:val="24"/>
          <w:szCs w:val="24"/>
        </w:rPr>
        <w:t>与上述事项有关的财务整改相关会计处理在所有重大方面符合会计准则要求，不构成前期差错，不需要进行追溯调整。前述刑事案件和民事诉讼的相关预计负债计提充分，案件后续判决结果不会对大唐微电子的财务情况及经营成果产生进一步的负面影响。如果大唐微电子败诉，可能形成大额资金流出，基于大唐微电子目前的盈利情况及资金流情况，我们未发现该等资金流出会对公司自身的持续盈利能力产生重大影响。</w:t>
      </w:r>
    </w:p>
    <w:p w14:paraId="3965BC02" w14:textId="77777777" w:rsidR="00BD3166" w:rsidRDefault="00C64679">
      <w:pPr>
        <w:pStyle w:val="aa"/>
        <w:spacing w:beforeLines="50" w:before="156" w:afterLines="50" w:after="156" w:line="360" w:lineRule="auto"/>
        <w:ind w:left="420" w:firstLineChars="0" w:firstLine="0"/>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lastRenderedPageBreak/>
        <w:t>五、补充披露情况</w:t>
      </w:r>
    </w:p>
    <w:p w14:paraId="0EEA6143" w14:textId="77777777" w:rsidR="00BD3166" w:rsidRDefault="00C64679">
      <w:pPr>
        <w:numPr>
          <w:ilvl w:val="255"/>
          <w:numId w:val="0"/>
        </w:numPr>
        <w:autoSpaceDE w:val="0"/>
        <w:autoSpaceDN w:val="0"/>
        <w:spacing w:beforeLines="50" w:before="156" w:line="360" w:lineRule="auto"/>
        <w:ind w:firstLineChars="200" w:firstLine="480"/>
        <w:rPr>
          <w:rFonts w:ascii="Times New Roman" w:eastAsia="宋体" w:hAnsi="Times New Roman" w:cs="Times New Roman"/>
          <w:bCs/>
          <w:color w:val="000000"/>
          <w:sz w:val="24"/>
          <w:szCs w:val="24"/>
        </w:rPr>
      </w:pPr>
      <w:r>
        <w:rPr>
          <w:rFonts w:ascii="Times New Roman" w:eastAsia="宋体" w:hAnsi="Times New Roman" w:cs="Times New Roman" w:hint="eastAsia"/>
          <w:bCs/>
          <w:color w:val="000000"/>
          <w:sz w:val="24"/>
          <w:szCs w:val="24"/>
        </w:rPr>
        <w:t>公司已在草案“第八节</w:t>
      </w:r>
      <w:r>
        <w:rPr>
          <w:rFonts w:ascii="Times New Roman" w:eastAsia="宋体" w:hAnsi="Times New Roman" w:cs="Times New Roman"/>
          <w:bCs/>
          <w:color w:val="000000"/>
          <w:sz w:val="24"/>
          <w:szCs w:val="24"/>
        </w:rPr>
        <w:t xml:space="preserve"> </w:t>
      </w:r>
      <w:r>
        <w:rPr>
          <w:rFonts w:ascii="Times New Roman" w:eastAsia="宋体" w:hAnsi="Times New Roman" w:cs="Times New Roman" w:hint="eastAsia"/>
          <w:bCs/>
          <w:color w:val="000000"/>
          <w:sz w:val="24"/>
          <w:szCs w:val="24"/>
        </w:rPr>
        <w:t>管理层讨论与分析”之“一、本次交易前上市公司财务状况和经营成果的讨论与分析”、“</w:t>
      </w:r>
      <w:bookmarkStart w:id="28" w:name="_Toc73542671"/>
      <w:bookmarkStart w:id="29" w:name="_Toc59011040"/>
      <w:bookmarkStart w:id="30" w:name="_Toc59010852"/>
      <w:r>
        <w:rPr>
          <w:rFonts w:ascii="Times New Roman" w:eastAsia="宋体" w:hAnsi="Times New Roman" w:cs="Times New Roman" w:hint="eastAsia"/>
          <w:bCs/>
          <w:color w:val="000000"/>
          <w:sz w:val="24"/>
          <w:szCs w:val="24"/>
        </w:rPr>
        <w:t>三、标的公司的财务状况与盈利能力分析</w:t>
      </w:r>
      <w:bookmarkEnd w:id="28"/>
      <w:bookmarkEnd w:id="29"/>
      <w:bookmarkEnd w:id="30"/>
      <w:r>
        <w:rPr>
          <w:rFonts w:ascii="Times New Roman" w:eastAsia="宋体" w:hAnsi="Times New Roman" w:cs="Times New Roman" w:hint="eastAsia"/>
          <w:bCs/>
          <w:color w:val="000000"/>
          <w:sz w:val="24"/>
          <w:szCs w:val="24"/>
        </w:rPr>
        <w:t>”中补充披露相关内容。</w:t>
      </w:r>
    </w:p>
    <w:p w14:paraId="702300FA" w14:textId="77777777" w:rsidR="00BD3166" w:rsidRDefault="00C64679">
      <w:pPr>
        <w:spacing w:beforeLines="50" w:before="156" w:afterLines="50" w:after="156" w:line="360" w:lineRule="auto"/>
        <w:ind w:firstLineChars="200" w:firstLine="482"/>
        <w:outlineLvl w:val="0"/>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问题</w:t>
      </w:r>
      <w:r>
        <w:rPr>
          <w:rFonts w:ascii="Times New Roman" w:eastAsia="宋体" w:hAnsi="Times New Roman" w:cs="Times New Roman"/>
          <w:b/>
          <w:color w:val="000000"/>
          <w:sz w:val="24"/>
          <w:szCs w:val="24"/>
        </w:rPr>
        <w:t>5.</w:t>
      </w:r>
      <w:r>
        <w:rPr>
          <w:rFonts w:ascii="Times New Roman" w:eastAsia="宋体" w:hAnsi="Times New Roman" w:cs="Times New Roman"/>
          <w:b/>
          <w:color w:val="000000"/>
          <w:sz w:val="24"/>
          <w:szCs w:val="24"/>
        </w:rPr>
        <w:t>草案披露，标的公司主营安全芯片业务，面向社保、金融、城市管理、交通等行业客户提供二代身份证、社保卡等智能卡芯片和模块，以及指纹识别芯片等终端与物联网芯片。标的公司主要采用轻资产运营模式，通过外协厂商完成芯片</w:t>
      </w:r>
      <w:proofErr w:type="gramStart"/>
      <w:r>
        <w:rPr>
          <w:rFonts w:ascii="Times New Roman" w:eastAsia="宋体" w:hAnsi="Times New Roman" w:cs="Times New Roman"/>
          <w:b/>
          <w:color w:val="000000"/>
          <w:sz w:val="24"/>
          <w:szCs w:val="24"/>
        </w:rPr>
        <w:t>封测等</w:t>
      </w:r>
      <w:proofErr w:type="gramEnd"/>
      <w:r>
        <w:rPr>
          <w:rFonts w:ascii="Times New Roman" w:eastAsia="宋体" w:hAnsi="Times New Roman" w:cs="Times New Roman"/>
          <w:b/>
          <w:color w:val="000000"/>
          <w:sz w:val="24"/>
          <w:szCs w:val="24"/>
        </w:rPr>
        <w:t>生产环节，报告期内固定资产占总资产比例低于</w:t>
      </w: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且累计折旧率高达</w:t>
      </w:r>
      <w:r>
        <w:rPr>
          <w:rFonts w:ascii="Times New Roman" w:eastAsia="宋体" w:hAnsi="Times New Roman" w:cs="Times New Roman"/>
          <w:b/>
          <w:color w:val="000000"/>
          <w:sz w:val="24"/>
          <w:szCs w:val="24"/>
        </w:rPr>
        <w:t>89%</w:t>
      </w:r>
      <w:r>
        <w:rPr>
          <w:rFonts w:ascii="Times New Roman" w:eastAsia="宋体" w:hAnsi="Times New Roman" w:cs="Times New Roman"/>
          <w:b/>
          <w:color w:val="000000"/>
          <w:sz w:val="24"/>
          <w:szCs w:val="24"/>
        </w:rPr>
        <w:t>；研发投入</w:t>
      </w:r>
      <w:proofErr w:type="gramStart"/>
      <w:r>
        <w:rPr>
          <w:rFonts w:ascii="Times New Roman" w:eastAsia="宋体" w:hAnsi="Times New Roman" w:cs="Times New Roman"/>
          <w:b/>
          <w:color w:val="000000"/>
          <w:sz w:val="24"/>
          <w:szCs w:val="24"/>
        </w:rPr>
        <w:t>占比较</w:t>
      </w:r>
      <w:proofErr w:type="gramEnd"/>
      <w:r>
        <w:rPr>
          <w:rFonts w:ascii="Times New Roman" w:eastAsia="宋体" w:hAnsi="Times New Roman" w:cs="Times New Roman"/>
          <w:b/>
          <w:color w:val="000000"/>
          <w:sz w:val="24"/>
          <w:szCs w:val="24"/>
        </w:rPr>
        <w:t>高，研发费用占营业收入比例由</w:t>
      </w:r>
      <w:r>
        <w:rPr>
          <w:rFonts w:ascii="Times New Roman" w:eastAsia="宋体" w:hAnsi="Times New Roman" w:cs="Times New Roman"/>
          <w:b/>
          <w:color w:val="000000"/>
          <w:sz w:val="24"/>
          <w:szCs w:val="24"/>
        </w:rPr>
        <w:t>13.3%</w:t>
      </w:r>
      <w:r>
        <w:rPr>
          <w:rFonts w:ascii="Times New Roman" w:eastAsia="宋体" w:hAnsi="Times New Roman" w:cs="Times New Roman"/>
          <w:b/>
          <w:color w:val="000000"/>
          <w:sz w:val="24"/>
          <w:szCs w:val="24"/>
        </w:rPr>
        <w:t>提升至</w:t>
      </w:r>
      <w:r>
        <w:rPr>
          <w:rFonts w:ascii="Times New Roman" w:eastAsia="宋体" w:hAnsi="Times New Roman" w:cs="Times New Roman"/>
          <w:b/>
          <w:color w:val="000000"/>
          <w:sz w:val="24"/>
          <w:szCs w:val="24"/>
        </w:rPr>
        <w:t>17.9%</w:t>
      </w:r>
      <w:r>
        <w:rPr>
          <w:rFonts w:ascii="Times New Roman" w:eastAsia="宋体" w:hAnsi="Times New Roman" w:cs="Times New Roman"/>
          <w:b/>
          <w:color w:val="000000"/>
          <w:sz w:val="24"/>
          <w:szCs w:val="24"/>
        </w:rPr>
        <w:t>。请公司补充披露：（</w:t>
      </w: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）标的公司各业务板块的基本情况，包括但不限于市场规模、发展趋势、产业政策、业务壁垒、所处地位、竞争对手；（</w:t>
      </w: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）标的公司各业务板块的业务模式、盈利模式、结算模式、收入确认政策和时点；（</w:t>
      </w:r>
      <w:r>
        <w:rPr>
          <w:rFonts w:ascii="Times New Roman" w:eastAsia="宋体" w:hAnsi="Times New Roman" w:cs="Times New Roman"/>
          <w:b/>
          <w:color w:val="000000"/>
          <w:sz w:val="24"/>
          <w:szCs w:val="24"/>
        </w:rPr>
        <w:t>3</w:t>
      </w:r>
      <w:r>
        <w:rPr>
          <w:rFonts w:ascii="Times New Roman" w:eastAsia="宋体" w:hAnsi="Times New Roman" w:cs="Times New Roman"/>
          <w:b/>
          <w:color w:val="000000"/>
          <w:sz w:val="24"/>
          <w:szCs w:val="24"/>
        </w:rPr>
        <w:t>）结合所处产业链位置、同行业可比公司等，说明标的公司资产构成与主营业务的匹配度，固定资产折旧政策以及折旧费用计提的合理性，后期标的公司利用前述设备开展经营活动是否存在相关障碍，是否需要新增大额投入；（</w:t>
      </w:r>
      <w:r>
        <w:rPr>
          <w:rFonts w:ascii="Times New Roman" w:eastAsia="宋体" w:hAnsi="Times New Roman" w:cs="Times New Roman"/>
          <w:b/>
          <w:color w:val="000000"/>
          <w:sz w:val="24"/>
          <w:szCs w:val="24"/>
        </w:rPr>
        <w:t>4</w:t>
      </w:r>
      <w:r>
        <w:rPr>
          <w:rFonts w:ascii="Times New Roman" w:eastAsia="宋体" w:hAnsi="Times New Roman" w:cs="Times New Roman"/>
          <w:b/>
          <w:color w:val="000000"/>
          <w:sz w:val="24"/>
          <w:szCs w:val="24"/>
        </w:rPr>
        <w:t>）标的公司研发投入的具体内容及项目进展、费用化及资本</w:t>
      </w:r>
      <w:proofErr w:type="gramStart"/>
      <w:r>
        <w:rPr>
          <w:rFonts w:ascii="Times New Roman" w:eastAsia="宋体" w:hAnsi="Times New Roman" w:cs="Times New Roman"/>
          <w:b/>
          <w:color w:val="000000"/>
          <w:sz w:val="24"/>
          <w:szCs w:val="24"/>
        </w:rPr>
        <w:t>化金额</w:t>
      </w:r>
      <w:proofErr w:type="gramEnd"/>
      <w:r>
        <w:rPr>
          <w:rFonts w:ascii="Times New Roman" w:eastAsia="宋体" w:hAnsi="Times New Roman" w:cs="Times New Roman"/>
          <w:b/>
          <w:color w:val="000000"/>
          <w:sz w:val="24"/>
          <w:szCs w:val="24"/>
        </w:rPr>
        <w:t>与占比、研发人员人数及受教育程度，是否与同行业可比公司相一致，是否存在明显的技术优势，是否可能面临现有产品或技术被替代的风险，并结合标的公司业务开拓情况，说明研发投入占比提升的原因及合理性。请财务顾问和会计师发表意见。</w:t>
      </w:r>
    </w:p>
    <w:p w14:paraId="09E96199" w14:textId="77777777" w:rsidR="00BD3166" w:rsidRDefault="00C64679">
      <w:pPr>
        <w:spacing w:line="360" w:lineRule="auto"/>
        <w:ind w:firstLineChars="200" w:firstLine="482"/>
        <w:rPr>
          <w:rFonts w:ascii="Times New Roman" w:hAnsi="Times New Roman" w:cs="Times New Roman"/>
          <w:sz w:val="24"/>
        </w:rPr>
      </w:pPr>
      <w:r>
        <w:rPr>
          <w:rFonts w:ascii="Times New Roman" w:hAnsi="Times New Roman" w:cs="Times New Roman"/>
          <w:b/>
          <w:sz w:val="24"/>
        </w:rPr>
        <w:t>回复</w:t>
      </w:r>
      <w:r>
        <w:rPr>
          <w:rFonts w:ascii="Times New Roman" w:hAnsi="Times New Roman" w:cs="Times New Roman" w:hint="eastAsia"/>
          <w:b/>
          <w:sz w:val="24"/>
        </w:rPr>
        <w:t>：</w:t>
      </w:r>
    </w:p>
    <w:p w14:paraId="5951D7EA"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一、标的公司各业务板块的基本情况，包括但不限于市场规模、发展趋势、产业政策、业务壁垒、所处地位、竞争对手</w:t>
      </w:r>
    </w:p>
    <w:p w14:paraId="33D501BA"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是大唐电信下属专注于集成电路设计的子公司，大唐微电子主营业务为安全芯片设计，面向社保、金融、城市管理、交通等行业客户提供二代身份证芯片和模块、社保卡芯片和模块、金融支付芯片、指纹传感器和指纹算法芯片、读卡器芯片、终端安全芯片等。</w:t>
      </w:r>
    </w:p>
    <w:p w14:paraId="0DB00E9F" w14:textId="77777777" w:rsidR="00BD3166" w:rsidRDefault="00C64679">
      <w:pPr>
        <w:spacing w:line="360" w:lineRule="auto"/>
        <w:ind w:firstLineChars="200" w:firstLine="482"/>
        <w:outlineLvl w:val="2"/>
        <w:rPr>
          <w:rFonts w:ascii="Times New Roman" w:hAnsi="Times New Roman" w:cs="Times New Roman"/>
          <w:b/>
          <w:sz w:val="24"/>
        </w:rPr>
      </w:pPr>
      <w:r>
        <w:rPr>
          <w:rFonts w:ascii="Times New Roman" w:hAnsi="Times New Roman" w:cs="Times New Roman" w:hint="eastAsia"/>
          <w:b/>
          <w:sz w:val="24"/>
        </w:rPr>
        <w:t>（一）安全芯片的市场规模及发展趋势</w:t>
      </w:r>
    </w:p>
    <w:p w14:paraId="362D9944"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hint="eastAsia"/>
          <w:b/>
          <w:sz w:val="24"/>
        </w:rPr>
        <w:t>、安全芯片的市场规模</w:t>
      </w:r>
    </w:p>
    <w:p w14:paraId="0E5DA5B1"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lastRenderedPageBreak/>
        <w:t>大唐微电子安全芯片广泛的应用于智能卡与智能终端等设备中。其中智能卡市场近年来发展平稳，据沙利文统计，预计到</w:t>
      </w:r>
      <w:r>
        <w:rPr>
          <w:rFonts w:ascii="Times New Roman" w:hAnsi="Times New Roman" w:cs="Times New Roman" w:hint="eastAsia"/>
          <w:sz w:val="24"/>
        </w:rPr>
        <w:t>2023</w:t>
      </w:r>
      <w:r>
        <w:rPr>
          <w:rFonts w:ascii="Times New Roman" w:hAnsi="Times New Roman" w:cs="Times New Roman" w:hint="eastAsia"/>
          <w:sz w:val="24"/>
        </w:rPr>
        <w:t>年全球智能卡芯片出货量将达到</w:t>
      </w:r>
      <w:r>
        <w:rPr>
          <w:rFonts w:ascii="Times New Roman" w:hAnsi="Times New Roman" w:cs="Times New Roman" w:hint="eastAsia"/>
          <w:sz w:val="24"/>
        </w:rPr>
        <w:t>279.8</w:t>
      </w:r>
      <w:r>
        <w:rPr>
          <w:rFonts w:ascii="Times New Roman" w:hAnsi="Times New Roman" w:cs="Times New Roman"/>
          <w:sz w:val="24"/>
        </w:rPr>
        <w:t>3</w:t>
      </w:r>
      <w:r>
        <w:rPr>
          <w:rFonts w:ascii="Times New Roman" w:hAnsi="Times New Roman" w:cs="Times New Roman" w:hint="eastAsia"/>
          <w:sz w:val="24"/>
        </w:rPr>
        <w:t>亿颗，全球市场规模将达到</w:t>
      </w:r>
      <w:r>
        <w:rPr>
          <w:rFonts w:ascii="Times New Roman" w:hAnsi="Times New Roman" w:cs="Times New Roman" w:hint="eastAsia"/>
          <w:sz w:val="24"/>
        </w:rPr>
        <w:t>38.6</w:t>
      </w:r>
      <w:r>
        <w:rPr>
          <w:rFonts w:ascii="Times New Roman" w:hAnsi="Times New Roman" w:cs="Times New Roman"/>
          <w:sz w:val="24"/>
        </w:rPr>
        <w:t>0</w:t>
      </w:r>
      <w:r>
        <w:rPr>
          <w:rFonts w:ascii="Times New Roman" w:hAnsi="Times New Roman" w:cs="Times New Roman" w:hint="eastAsia"/>
          <w:sz w:val="24"/>
        </w:rPr>
        <w:t>亿美元，中国智能卡芯片出货量将达到</w:t>
      </w:r>
      <w:r>
        <w:rPr>
          <w:rFonts w:ascii="Times New Roman" w:hAnsi="Times New Roman" w:cs="Times New Roman" w:hint="eastAsia"/>
          <w:sz w:val="24"/>
        </w:rPr>
        <w:t>139.36</w:t>
      </w:r>
      <w:r>
        <w:rPr>
          <w:rFonts w:ascii="Times New Roman" w:hAnsi="Times New Roman" w:cs="Times New Roman" w:hint="eastAsia"/>
          <w:sz w:val="24"/>
        </w:rPr>
        <w:t>亿颗，中国智能卡芯片市场规模将达到</w:t>
      </w:r>
      <w:r>
        <w:rPr>
          <w:rFonts w:ascii="Times New Roman" w:hAnsi="Times New Roman" w:cs="Times New Roman" w:hint="eastAsia"/>
          <w:sz w:val="24"/>
        </w:rPr>
        <w:t>12</w:t>
      </w:r>
      <w:r>
        <w:rPr>
          <w:rFonts w:ascii="Times New Roman" w:hAnsi="Times New Roman" w:cs="Times New Roman"/>
          <w:sz w:val="24"/>
        </w:rPr>
        <w:t>9.82</w:t>
      </w:r>
      <w:r>
        <w:rPr>
          <w:rFonts w:ascii="Times New Roman" w:hAnsi="Times New Roman" w:cs="Times New Roman" w:hint="eastAsia"/>
          <w:sz w:val="24"/>
        </w:rPr>
        <w:t>亿元。</w:t>
      </w:r>
    </w:p>
    <w:p w14:paraId="39AA1E90"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在社保卡应用领域，根据</w:t>
      </w:r>
      <w:proofErr w:type="gramStart"/>
      <w:r>
        <w:rPr>
          <w:rFonts w:ascii="Times New Roman" w:hAnsi="Times New Roman" w:cs="Times New Roman" w:hint="eastAsia"/>
          <w:sz w:val="24"/>
        </w:rPr>
        <w:t>人社部门</w:t>
      </w:r>
      <w:proofErr w:type="gramEnd"/>
      <w:r>
        <w:rPr>
          <w:rFonts w:ascii="Times New Roman" w:hAnsi="Times New Roman" w:cs="Times New Roman" w:hint="eastAsia"/>
          <w:sz w:val="24"/>
        </w:rPr>
        <w:t>统计，</w:t>
      </w:r>
      <w:r>
        <w:rPr>
          <w:rFonts w:ascii="Times New Roman" w:hAnsi="Times New Roman" w:cs="Times New Roman" w:hint="eastAsia"/>
          <w:sz w:val="24"/>
        </w:rPr>
        <w:t>2020</w:t>
      </w:r>
      <w:r>
        <w:rPr>
          <w:rFonts w:ascii="Times New Roman" w:hAnsi="Times New Roman" w:cs="Times New Roman" w:hint="eastAsia"/>
          <w:sz w:val="24"/>
        </w:rPr>
        <w:t>年底全国社保卡持卡人数达</w:t>
      </w:r>
      <w:r>
        <w:rPr>
          <w:rFonts w:ascii="Times New Roman" w:hAnsi="Times New Roman" w:cs="Times New Roman" w:hint="eastAsia"/>
          <w:sz w:val="24"/>
        </w:rPr>
        <w:t>13.35</w:t>
      </w:r>
      <w:r>
        <w:rPr>
          <w:rFonts w:ascii="Times New Roman" w:hAnsi="Times New Roman" w:cs="Times New Roman" w:hint="eastAsia"/>
          <w:sz w:val="24"/>
        </w:rPr>
        <w:t>亿人。</w:t>
      </w:r>
      <w:r>
        <w:rPr>
          <w:rFonts w:ascii="Times New Roman" w:hAnsi="Times New Roman" w:cs="Times New Roman" w:hint="eastAsia"/>
          <w:sz w:val="24"/>
        </w:rPr>
        <w:t>2017</w:t>
      </w:r>
      <w:r>
        <w:rPr>
          <w:rFonts w:ascii="Times New Roman" w:hAnsi="Times New Roman" w:cs="Times New Roman" w:hint="eastAsia"/>
          <w:sz w:val="24"/>
        </w:rPr>
        <w:t>年，人力资源和社会保障部第三代社保卡发行应用工作在武汉正式启动，第三代社会保障卡是新一代集成电路（</w:t>
      </w:r>
      <w:r>
        <w:rPr>
          <w:rFonts w:ascii="Times New Roman" w:hAnsi="Times New Roman" w:cs="Times New Roman" w:hint="eastAsia"/>
          <w:sz w:val="24"/>
        </w:rPr>
        <w:t>IC</w:t>
      </w:r>
      <w:r>
        <w:rPr>
          <w:rFonts w:ascii="Times New Roman" w:hAnsi="Times New Roman" w:cs="Times New Roman" w:hint="eastAsia"/>
          <w:sz w:val="24"/>
        </w:rPr>
        <w:t>）卡，增加了“一晃而过”非接触读卡功能，运用场景更加广泛，以实现“一卡多用、全国通用”的应用目标。目前，第三代社保卡已在武汉、山东、上海、四川等试点区域发行。此外，考虑到金融社保卡中芯片的使用年限、参保人个人卡面信息变化等原因，金融社保卡通常要求</w:t>
      </w:r>
      <w:r>
        <w:rPr>
          <w:rFonts w:ascii="Times New Roman" w:hAnsi="Times New Roman" w:cs="Times New Roman" w:hint="eastAsia"/>
          <w:sz w:val="24"/>
        </w:rPr>
        <w:t>10</w:t>
      </w:r>
      <w:r>
        <w:rPr>
          <w:rFonts w:ascii="Times New Roman" w:hAnsi="Times New Roman" w:cs="Times New Roman" w:hint="eastAsia"/>
          <w:sz w:val="24"/>
        </w:rPr>
        <w:t>年进行更换，因此，未来原有大量的第一、二代社保卡将陆续进入更换周期，社保卡及社保卡芯片均有较大的市场空间。</w:t>
      </w:r>
    </w:p>
    <w:p w14:paraId="4E635B0B"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在金融</w:t>
      </w:r>
      <w:r>
        <w:rPr>
          <w:rFonts w:ascii="Times New Roman" w:hAnsi="Times New Roman" w:cs="Times New Roman" w:hint="eastAsia"/>
          <w:sz w:val="24"/>
        </w:rPr>
        <w:t>IC</w:t>
      </w:r>
      <w:r>
        <w:rPr>
          <w:rFonts w:ascii="Times New Roman" w:hAnsi="Times New Roman" w:cs="Times New Roman" w:hint="eastAsia"/>
          <w:sz w:val="24"/>
        </w:rPr>
        <w:t>卡应用领域，近年来，我国银行卡市场规模发展迅速。根据中国人民银行发布的《</w:t>
      </w:r>
      <w:r>
        <w:rPr>
          <w:rFonts w:ascii="Times New Roman" w:hAnsi="Times New Roman" w:cs="Times New Roman" w:hint="eastAsia"/>
          <w:sz w:val="24"/>
        </w:rPr>
        <w:t>2020</w:t>
      </w:r>
      <w:r>
        <w:rPr>
          <w:rFonts w:ascii="Times New Roman" w:hAnsi="Times New Roman" w:cs="Times New Roman" w:hint="eastAsia"/>
          <w:sz w:val="24"/>
        </w:rPr>
        <w:t>年支付体系运行总体情况》显示，</w:t>
      </w:r>
      <w:r>
        <w:rPr>
          <w:rFonts w:ascii="Times New Roman" w:hAnsi="Times New Roman" w:cs="Times New Roman" w:hint="eastAsia"/>
          <w:sz w:val="24"/>
        </w:rPr>
        <w:t>2020</w:t>
      </w:r>
      <w:r>
        <w:rPr>
          <w:rFonts w:ascii="Times New Roman" w:hAnsi="Times New Roman" w:cs="Times New Roman" w:hint="eastAsia"/>
          <w:sz w:val="24"/>
        </w:rPr>
        <w:t>年末，我国银行卡在用发卡数量为</w:t>
      </w:r>
      <w:r>
        <w:rPr>
          <w:rFonts w:ascii="Times New Roman" w:hAnsi="Times New Roman" w:cs="Times New Roman" w:hint="eastAsia"/>
          <w:sz w:val="24"/>
        </w:rPr>
        <w:t>89.54</w:t>
      </w:r>
      <w:r>
        <w:rPr>
          <w:rFonts w:ascii="Times New Roman" w:hAnsi="Times New Roman" w:cs="Times New Roman" w:hint="eastAsia"/>
          <w:sz w:val="24"/>
        </w:rPr>
        <w:t>亿张。</w:t>
      </w:r>
      <w:r>
        <w:rPr>
          <w:rFonts w:ascii="Times New Roman" w:hAnsi="Times New Roman" w:cs="Times New Roman" w:hint="eastAsia"/>
          <w:sz w:val="24"/>
        </w:rPr>
        <w:t>EMV</w:t>
      </w:r>
      <w:r>
        <w:rPr>
          <w:rFonts w:ascii="Times New Roman" w:hAnsi="Times New Roman" w:cs="Times New Roman" w:hint="eastAsia"/>
          <w:sz w:val="24"/>
        </w:rPr>
        <w:t>迁移是金融</w:t>
      </w:r>
      <w:r>
        <w:rPr>
          <w:rFonts w:ascii="Times New Roman" w:hAnsi="Times New Roman" w:cs="Times New Roman" w:hint="eastAsia"/>
          <w:sz w:val="24"/>
        </w:rPr>
        <w:t>IC</w:t>
      </w:r>
      <w:r>
        <w:rPr>
          <w:rFonts w:ascii="Times New Roman" w:hAnsi="Times New Roman" w:cs="Times New Roman" w:hint="eastAsia"/>
          <w:sz w:val="24"/>
        </w:rPr>
        <w:t>卡市场发展的主要推动因素之一，全球范围尤其是亚太地区仍然有大量的磁条卡需要更换为芯片卡，我国</w:t>
      </w:r>
      <w:r>
        <w:rPr>
          <w:rFonts w:ascii="Times New Roman" w:hAnsi="Times New Roman" w:cs="Times New Roman" w:hint="eastAsia"/>
          <w:sz w:val="24"/>
        </w:rPr>
        <w:t>EMV</w:t>
      </w:r>
      <w:r>
        <w:rPr>
          <w:rFonts w:ascii="Times New Roman" w:hAnsi="Times New Roman" w:cs="Times New Roman" w:hint="eastAsia"/>
          <w:sz w:val="24"/>
        </w:rPr>
        <w:t>渗透率高于亚太地区同期水准，但较欧洲、美洲等地区尚有较大差距，未来金融</w:t>
      </w:r>
      <w:r>
        <w:rPr>
          <w:rFonts w:ascii="Times New Roman" w:hAnsi="Times New Roman" w:cs="Times New Roman" w:hint="eastAsia"/>
          <w:sz w:val="24"/>
        </w:rPr>
        <w:t>IC</w:t>
      </w:r>
      <w:r>
        <w:rPr>
          <w:rFonts w:ascii="Times New Roman" w:hAnsi="Times New Roman" w:cs="Times New Roman" w:hint="eastAsia"/>
          <w:sz w:val="24"/>
        </w:rPr>
        <w:t>卡替换的市场空间巨大。</w:t>
      </w:r>
    </w:p>
    <w:p w14:paraId="54A8A1F1"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hint="eastAsia"/>
          <w:b/>
          <w:sz w:val="24"/>
        </w:rPr>
        <w:t>、安全芯片的发展趋势</w:t>
      </w:r>
    </w:p>
    <w:p w14:paraId="6459786F"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随着物联网的快速发展，终端感知设备不断增多、通信技术种类不断增多、终端用户数量高速增长，对物联网信息数据安全保护越来越迫切。近年来，物联网安全事件频发，全球近</w:t>
      </w:r>
      <w:r>
        <w:rPr>
          <w:rFonts w:ascii="Times New Roman" w:hAnsi="Times New Roman" w:cs="Times New Roman" w:hint="eastAsia"/>
          <w:sz w:val="24"/>
        </w:rPr>
        <w:t>20%</w:t>
      </w:r>
      <w:r>
        <w:rPr>
          <w:rFonts w:ascii="Times New Roman" w:hAnsi="Times New Roman" w:cs="Times New Roman" w:hint="eastAsia"/>
          <w:sz w:val="24"/>
        </w:rPr>
        <w:t>的企业和相关机构在过去三年遭受过物联网攻击。物联网等新应用场景的出现及对安全需求的升级，给安全芯片带来广阔的市场前景。物联网安全芯片是物联网安全行业的核心硬件，当前我国物联网安全芯片技术主要掌握在部分海外厂商手中，对外依存度较高，行业面临核心部件垄断风险，存在较大的国产替代机遇，给国内安全芯片厂商带来发展机遇。</w:t>
      </w:r>
    </w:p>
    <w:p w14:paraId="576E2B04" w14:textId="77777777" w:rsidR="00BD3166" w:rsidRDefault="00C64679">
      <w:pPr>
        <w:spacing w:line="360" w:lineRule="auto"/>
        <w:ind w:firstLineChars="200" w:firstLine="482"/>
        <w:outlineLvl w:val="2"/>
        <w:rPr>
          <w:rFonts w:ascii="Times New Roman" w:hAnsi="Times New Roman" w:cs="Times New Roman"/>
          <w:b/>
          <w:sz w:val="24"/>
        </w:rPr>
      </w:pPr>
      <w:r>
        <w:rPr>
          <w:rFonts w:ascii="Times New Roman" w:hAnsi="Times New Roman" w:cs="Times New Roman" w:hint="eastAsia"/>
          <w:b/>
          <w:sz w:val="24"/>
        </w:rPr>
        <w:t>（二）安全芯片产业政策</w:t>
      </w:r>
    </w:p>
    <w:p w14:paraId="3875197C"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安全芯片作为重要的集成电路细分应用领域，近年来，国家先后出台多项政策支持集成电路产业发展，具体如下：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801"/>
        <w:gridCol w:w="2763"/>
      </w:tblGrid>
      <w:tr w:rsidR="00BD3166" w14:paraId="45780E39" w14:textId="77777777">
        <w:trPr>
          <w:trHeight w:val="397"/>
          <w:tblHeader/>
        </w:trPr>
        <w:tc>
          <w:tcPr>
            <w:tcW w:w="562" w:type="pct"/>
            <w:noWrap/>
            <w:vAlign w:val="center"/>
          </w:tcPr>
          <w:p w14:paraId="7F5F8C80" w14:textId="77777777" w:rsidR="00BD3166" w:rsidRDefault="00C64679">
            <w:pPr>
              <w:widowControl/>
              <w:jc w:val="center"/>
              <w:rPr>
                <w:rFonts w:ascii="Times New Roman" w:hAnsi="Times New Roman" w:cs="Times New Roman"/>
                <w:b/>
                <w:color w:val="000000"/>
                <w:szCs w:val="21"/>
              </w:rPr>
            </w:pPr>
            <w:r>
              <w:rPr>
                <w:rFonts w:ascii="Times New Roman" w:hAnsi="Times New Roman" w:cs="Times New Roman"/>
                <w:b/>
                <w:color w:val="000000"/>
                <w:szCs w:val="21"/>
              </w:rPr>
              <w:lastRenderedPageBreak/>
              <w:t>时间</w:t>
            </w:r>
          </w:p>
        </w:tc>
        <w:tc>
          <w:tcPr>
            <w:tcW w:w="2817" w:type="pct"/>
            <w:vAlign w:val="center"/>
          </w:tcPr>
          <w:p w14:paraId="0F9DFE44" w14:textId="77777777" w:rsidR="00BD3166" w:rsidRDefault="00C64679">
            <w:pPr>
              <w:widowControl/>
              <w:jc w:val="center"/>
              <w:rPr>
                <w:rFonts w:ascii="Times New Roman" w:hAnsi="Times New Roman" w:cs="Times New Roman"/>
                <w:b/>
                <w:color w:val="000000"/>
                <w:szCs w:val="21"/>
              </w:rPr>
            </w:pPr>
            <w:r>
              <w:rPr>
                <w:rFonts w:ascii="Times New Roman" w:hAnsi="Times New Roman" w:cs="Times New Roman"/>
                <w:b/>
                <w:color w:val="000000"/>
                <w:szCs w:val="21"/>
              </w:rPr>
              <w:t>法律法规与政策</w:t>
            </w:r>
          </w:p>
        </w:tc>
        <w:tc>
          <w:tcPr>
            <w:tcW w:w="1621" w:type="pct"/>
            <w:vAlign w:val="center"/>
          </w:tcPr>
          <w:p w14:paraId="3B30429B" w14:textId="77777777" w:rsidR="00BD3166" w:rsidRDefault="00C64679">
            <w:pPr>
              <w:widowControl/>
              <w:jc w:val="center"/>
              <w:rPr>
                <w:rFonts w:ascii="Times New Roman" w:hAnsi="Times New Roman" w:cs="Times New Roman"/>
                <w:b/>
                <w:color w:val="000000"/>
                <w:szCs w:val="21"/>
              </w:rPr>
            </w:pPr>
            <w:r>
              <w:rPr>
                <w:rFonts w:ascii="Times New Roman" w:hAnsi="Times New Roman" w:cs="Times New Roman"/>
                <w:b/>
                <w:color w:val="000000"/>
                <w:szCs w:val="21"/>
              </w:rPr>
              <w:t>出</w:t>
            </w:r>
            <w:proofErr w:type="gramStart"/>
            <w:r>
              <w:rPr>
                <w:rFonts w:ascii="Times New Roman" w:hAnsi="Times New Roman" w:cs="Times New Roman"/>
                <w:b/>
                <w:color w:val="000000"/>
                <w:szCs w:val="21"/>
              </w:rPr>
              <w:t>文部门</w:t>
            </w:r>
            <w:proofErr w:type="gramEnd"/>
          </w:p>
        </w:tc>
      </w:tr>
      <w:tr w:rsidR="00BD3166" w14:paraId="1369FD18" w14:textId="77777777">
        <w:trPr>
          <w:trHeight w:val="397"/>
        </w:trPr>
        <w:tc>
          <w:tcPr>
            <w:tcW w:w="562" w:type="pct"/>
            <w:noWrap/>
            <w:vAlign w:val="center"/>
          </w:tcPr>
          <w:p w14:paraId="29C67959"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2010</w:t>
            </w:r>
            <w:r>
              <w:rPr>
                <w:rFonts w:ascii="Times New Roman" w:hAnsi="Times New Roman" w:cs="Times New Roman"/>
                <w:color w:val="000000"/>
                <w:szCs w:val="21"/>
              </w:rPr>
              <w:t>年</w:t>
            </w:r>
          </w:p>
        </w:tc>
        <w:tc>
          <w:tcPr>
            <w:tcW w:w="2817" w:type="pct"/>
            <w:vAlign w:val="center"/>
          </w:tcPr>
          <w:p w14:paraId="3E2A209A"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《关于加快培育和发展战略新兴产业的决定》</w:t>
            </w:r>
          </w:p>
        </w:tc>
        <w:tc>
          <w:tcPr>
            <w:tcW w:w="1621" w:type="pct"/>
            <w:vAlign w:val="center"/>
          </w:tcPr>
          <w:p w14:paraId="7131828B"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国务院</w:t>
            </w:r>
          </w:p>
        </w:tc>
      </w:tr>
      <w:tr w:rsidR="00BD3166" w14:paraId="080EA020" w14:textId="77777777">
        <w:trPr>
          <w:trHeight w:val="397"/>
        </w:trPr>
        <w:tc>
          <w:tcPr>
            <w:tcW w:w="562" w:type="pct"/>
            <w:noWrap/>
            <w:vAlign w:val="center"/>
          </w:tcPr>
          <w:p w14:paraId="641F3917"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2011</w:t>
            </w:r>
            <w:r>
              <w:rPr>
                <w:rFonts w:ascii="Times New Roman" w:hAnsi="Times New Roman" w:cs="Times New Roman"/>
                <w:color w:val="000000"/>
                <w:szCs w:val="21"/>
              </w:rPr>
              <w:t>年</w:t>
            </w:r>
          </w:p>
        </w:tc>
        <w:tc>
          <w:tcPr>
            <w:tcW w:w="2817" w:type="pct"/>
            <w:vAlign w:val="center"/>
          </w:tcPr>
          <w:p w14:paraId="1CDE0A1D"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《进一步鼓励软件产业和集成电路产业发展的若干政策》</w:t>
            </w:r>
          </w:p>
        </w:tc>
        <w:tc>
          <w:tcPr>
            <w:tcW w:w="1621" w:type="pct"/>
            <w:vAlign w:val="center"/>
          </w:tcPr>
          <w:p w14:paraId="0D36BD73"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国务院</w:t>
            </w:r>
          </w:p>
        </w:tc>
      </w:tr>
      <w:tr w:rsidR="00BD3166" w14:paraId="39CE165B" w14:textId="77777777">
        <w:trPr>
          <w:trHeight w:val="397"/>
        </w:trPr>
        <w:tc>
          <w:tcPr>
            <w:tcW w:w="562" w:type="pct"/>
            <w:noWrap/>
            <w:vAlign w:val="center"/>
          </w:tcPr>
          <w:p w14:paraId="342199B5"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2012</w:t>
            </w:r>
            <w:r>
              <w:rPr>
                <w:rFonts w:ascii="Times New Roman" w:hAnsi="Times New Roman" w:cs="Times New Roman"/>
                <w:color w:val="000000"/>
                <w:szCs w:val="21"/>
              </w:rPr>
              <w:t>年</w:t>
            </w:r>
          </w:p>
        </w:tc>
        <w:tc>
          <w:tcPr>
            <w:tcW w:w="2817" w:type="pct"/>
            <w:vAlign w:val="center"/>
          </w:tcPr>
          <w:p w14:paraId="0812836F"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《关于进一步鼓励软件产业和集成电路产业发展企业所得税政策的通知》</w:t>
            </w:r>
          </w:p>
        </w:tc>
        <w:tc>
          <w:tcPr>
            <w:tcW w:w="1621" w:type="pct"/>
            <w:vAlign w:val="center"/>
          </w:tcPr>
          <w:p w14:paraId="4948E229"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财政部、国家</w:t>
            </w:r>
          </w:p>
          <w:p w14:paraId="0C191883"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税务总局</w:t>
            </w:r>
          </w:p>
        </w:tc>
      </w:tr>
      <w:tr w:rsidR="00BD3166" w14:paraId="31572255" w14:textId="77777777">
        <w:trPr>
          <w:trHeight w:val="397"/>
        </w:trPr>
        <w:tc>
          <w:tcPr>
            <w:tcW w:w="562" w:type="pct"/>
            <w:noWrap/>
            <w:vAlign w:val="center"/>
          </w:tcPr>
          <w:p w14:paraId="323C86D0"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2017</w:t>
            </w:r>
            <w:r>
              <w:rPr>
                <w:rFonts w:ascii="Times New Roman" w:hAnsi="Times New Roman" w:cs="Times New Roman"/>
                <w:color w:val="000000"/>
                <w:szCs w:val="21"/>
              </w:rPr>
              <w:t>年</w:t>
            </w:r>
          </w:p>
        </w:tc>
        <w:tc>
          <w:tcPr>
            <w:tcW w:w="2817" w:type="pct"/>
            <w:vAlign w:val="center"/>
          </w:tcPr>
          <w:p w14:paraId="570CA6AA"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《战略性新兴产业重点产品和服务指导目录》</w:t>
            </w:r>
          </w:p>
        </w:tc>
        <w:tc>
          <w:tcPr>
            <w:tcW w:w="1621" w:type="pct"/>
            <w:vAlign w:val="center"/>
          </w:tcPr>
          <w:p w14:paraId="1B629E14" w14:textId="77777777" w:rsidR="00BD3166" w:rsidRDefault="00C64679">
            <w:pPr>
              <w:widowControl/>
              <w:jc w:val="center"/>
              <w:rPr>
                <w:rFonts w:ascii="Times New Roman" w:hAnsi="Times New Roman" w:cs="Times New Roman"/>
                <w:color w:val="000000"/>
                <w:szCs w:val="21"/>
              </w:rPr>
            </w:pPr>
            <w:proofErr w:type="gramStart"/>
            <w:r>
              <w:rPr>
                <w:rFonts w:ascii="Times New Roman" w:hAnsi="Times New Roman" w:cs="Times New Roman"/>
                <w:color w:val="000000"/>
                <w:szCs w:val="21"/>
              </w:rPr>
              <w:t>国家发改委</w:t>
            </w:r>
            <w:proofErr w:type="gramEnd"/>
          </w:p>
        </w:tc>
      </w:tr>
      <w:tr w:rsidR="00BD3166" w14:paraId="0A9282EC" w14:textId="77777777">
        <w:trPr>
          <w:trHeight w:val="397"/>
        </w:trPr>
        <w:tc>
          <w:tcPr>
            <w:tcW w:w="562" w:type="pct"/>
            <w:noWrap/>
            <w:vAlign w:val="center"/>
          </w:tcPr>
          <w:p w14:paraId="76CCF223"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2014</w:t>
            </w:r>
            <w:r>
              <w:rPr>
                <w:rFonts w:ascii="Times New Roman" w:hAnsi="Times New Roman" w:cs="Times New Roman"/>
                <w:color w:val="000000"/>
                <w:szCs w:val="21"/>
              </w:rPr>
              <w:t>年</w:t>
            </w:r>
          </w:p>
        </w:tc>
        <w:tc>
          <w:tcPr>
            <w:tcW w:w="2817" w:type="pct"/>
            <w:vAlign w:val="center"/>
          </w:tcPr>
          <w:p w14:paraId="2F72320F"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《国家集成电路产业发展推进纲要》</w:t>
            </w:r>
          </w:p>
        </w:tc>
        <w:tc>
          <w:tcPr>
            <w:tcW w:w="1621" w:type="pct"/>
            <w:vAlign w:val="center"/>
          </w:tcPr>
          <w:p w14:paraId="4AF74157"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国务院</w:t>
            </w:r>
          </w:p>
        </w:tc>
      </w:tr>
      <w:tr w:rsidR="00BD3166" w14:paraId="0598CCF3" w14:textId="77777777">
        <w:trPr>
          <w:trHeight w:val="397"/>
        </w:trPr>
        <w:tc>
          <w:tcPr>
            <w:tcW w:w="562" w:type="pct"/>
            <w:noWrap/>
            <w:vAlign w:val="center"/>
          </w:tcPr>
          <w:p w14:paraId="31B542D2"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hint="eastAsia"/>
                <w:color w:val="000000"/>
                <w:szCs w:val="21"/>
              </w:rPr>
              <w:t>2</w:t>
            </w:r>
            <w:r>
              <w:rPr>
                <w:rFonts w:ascii="Times New Roman" w:hAnsi="Times New Roman" w:cs="Times New Roman"/>
                <w:color w:val="000000"/>
                <w:szCs w:val="21"/>
              </w:rPr>
              <w:t>014</w:t>
            </w:r>
            <w:r>
              <w:rPr>
                <w:rFonts w:ascii="Times New Roman" w:hAnsi="Times New Roman" w:cs="Times New Roman"/>
                <w:color w:val="000000"/>
                <w:szCs w:val="21"/>
              </w:rPr>
              <w:t>年</w:t>
            </w:r>
          </w:p>
        </w:tc>
        <w:tc>
          <w:tcPr>
            <w:tcW w:w="2817" w:type="pct"/>
            <w:vAlign w:val="center"/>
          </w:tcPr>
          <w:p w14:paraId="11D136C7"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hint="eastAsia"/>
                <w:color w:val="000000"/>
                <w:szCs w:val="21"/>
              </w:rPr>
              <w:t>《人力资源与社会保障部关于加快推进社会保障卡应用的意见》</w:t>
            </w:r>
          </w:p>
        </w:tc>
        <w:tc>
          <w:tcPr>
            <w:tcW w:w="1621" w:type="pct"/>
            <w:vAlign w:val="center"/>
          </w:tcPr>
          <w:p w14:paraId="222F2485"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hint="eastAsia"/>
                <w:color w:val="000000"/>
                <w:szCs w:val="21"/>
              </w:rPr>
              <w:t>人力资源社会保障部</w:t>
            </w:r>
          </w:p>
        </w:tc>
      </w:tr>
      <w:tr w:rsidR="00BD3166" w14:paraId="4A295B73" w14:textId="77777777">
        <w:trPr>
          <w:trHeight w:val="397"/>
        </w:trPr>
        <w:tc>
          <w:tcPr>
            <w:tcW w:w="562" w:type="pct"/>
            <w:noWrap/>
            <w:vAlign w:val="center"/>
          </w:tcPr>
          <w:p w14:paraId="51FB3675"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hint="eastAsia"/>
                <w:color w:val="000000"/>
                <w:szCs w:val="21"/>
              </w:rPr>
              <w:t>2</w:t>
            </w:r>
            <w:r>
              <w:rPr>
                <w:rFonts w:ascii="Times New Roman" w:hAnsi="Times New Roman" w:cs="Times New Roman"/>
                <w:color w:val="000000"/>
                <w:szCs w:val="21"/>
              </w:rPr>
              <w:t>015</w:t>
            </w:r>
            <w:r>
              <w:rPr>
                <w:rFonts w:ascii="Times New Roman" w:hAnsi="Times New Roman" w:cs="Times New Roman"/>
                <w:color w:val="000000"/>
                <w:szCs w:val="21"/>
              </w:rPr>
              <w:t>年</w:t>
            </w:r>
          </w:p>
        </w:tc>
        <w:tc>
          <w:tcPr>
            <w:tcW w:w="2817" w:type="pct"/>
            <w:vAlign w:val="center"/>
          </w:tcPr>
          <w:p w14:paraId="2D64F87A"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hint="eastAsia"/>
                <w:color w:val="000000"/>
                <w:szCs w:val="21"/>
              </w:rPr>
              <w:t>《关于进一步做好金融</w:t>
            </w:r>
            <w:r>
              <w:rPr>
                <w:rFonts w:ascii="Times New Roman" w:hAnsi="Times New Roman" w:cs="Times New Roman" w:hint="eastAsia"/>
                <w:color w:val="000000"/>
                <w:szCs w:val="21"/>
              </w:rPr>
              <w:t>IC</w:t>
            </w:r>
            <w:r>
              <w:rPr>
                <w:rFonts w:ascii="Times New Roman" w:hAnsi="Times New Roman" w:cs="Times New Roman" w:hint="eastAsia"/>
                <w:color w:val="000000"/>
                <w:szCs w:val="21"/>
              </w:rPr>
              <w:t>卡和移动金融应用工作的通知》</w:t>
            </w:r>
          </w:p>
        </w:tc>
        <w:tc>
          <w:tcPr>
            <w:tcW w:w="1621" w:type="pct"/>
            <w:vAlign w:val="center"/>
          </w:tcPr>
          <w:p w14:paraId="159D2F39"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中国人民银行</w:t>
            </w:r>
          </w:p>
        </w:tc>
      </w:tr>
      <w:tr w:rsidR="00BD3166" w14:paraId="7D2CC09E" w14:textId="77777777">
        <w:trPr>
          <w:trHeight w:val="397"/>
        </w:trPr>
        <w:tc>
          <w:tcPr>
            <w:tcW w:w="562" w:type="pct"/>
            <w:noWrap/>
            <w:vAlign w:val="center"/>
          </w:tcPr>
          <w:p w14:paraId="2FA61808"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2016</w:t>
            </w:r>
            <w:r>
              <w:rPr>
                <w:rFonts w:ascii="Times New Roman" w:hAnsi="Times New Roman" w:cs="Times New Roman"/>
                <w:color w:val="000000"/>
                <w:szCs w:val="21"/>
              </w:rPr>
              <w:t>年</w:t>
            </w:r>
          </w:p>
        </w:tc>
        <w:tc>
          <w:tcPr>
            <w:tcW w:w="2817" w:type="pct"/>
            <w:vAlign w:val="center"/>
          </w:tcPr>
          <w:p w14:paraId="11F4A8CD"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《关于软件和集成电路产业企业所得税优惠政策有关问题的通知》</w:t>
            </w:r>
          </w:p>
        </w:tc>
        <w:tc>
          <w:tcPr>
            <w:tcW w:w="1621" w:type="pct"/>
            <w:vAlign w:val="center"/>
          </w:tcPr>
          <w:p w14:paraId="71FC754B"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财政部、国家税务总局、国家发展改革委、工信部</w:t>
            </w:r>
          </w:p>
        </w:tc>
      </w:tr>
      <w:tr w:rsidR="00BD3166" w14:paraId="50DADF53" w14:textId="77777777">
        <w:trPr>
          <w:trHeight w:val="397"/>
        </w:trPr>
        <w:tc>
          <w:tcPr>
            <w:tcW w:w="562" w:type="pct"/>
            <w:noWrap/>
            <w:vAlign w:val="center"/>
          </w:tcPr>
          <w:p w14:paraId="38E66FB3"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2016</w:t>
            </w:r>
            <w:r>
              <w:rPr>
                <w:rFonts w:ascii="Times New Roman" w:hAnsi="Times New Roman" w:cs="Times New Roman"/>
                <w:color w:val="000000"/>
                <w:szCs w:val="21"/>
              </w:rPr>
              <w:t>年</w:t>
            </w:r>
          </w:p>
        </w:tc>
        <w:tc>
          <w:tcPr>
            <w:tcW w:w="2817" w:type="pct"/>
            <w:vAlign w:val="center"/>
          </w:tcPr>
          <w:p w14:paraId="7B57FB11"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《国家创新驱动发展战略纲要》</w:t>
            </w:r>
          </w:p>
        </w:tc>
        <w:tc>
          <w:tcPr>
            <w:tcW w:w="1621" w:type="pct"/>
            <w:vAlign w:val="center"/>
          </w:tcPr>
          <w:p w14:paraId="7947C198"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国务院</w:t>
            </w:r>
          </w:p>
        </w:tc>
      </w:tr>
      <w:tr w:rsidR="00BD3166" w14:paraId="590919B9" w14:textId="77777777">
        <w:trPr>
          <w:trHeight w:val="397"/>
        </w:trPr>
        <w:tc>
          <w:tcPr>
            <w:tcW w:w="562" w:type="pct"/>
            <w:noWrap/>
            <w:vAlign w:val="center"/>
          </w:tcPr>
          <w:p w14:paraId="77B65DC6"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2016</w:t>
            </w:r>
            <w:r>
              <w:rPr>
                <w:rFonts w:ascii="Times New Roman" w:hAnsi="Times New Roman" w:cs="Times New Roman"/>
                <w:color w:val="000000"/>
                <w:szCs w:val="21"/>
              </w:rPr>
              <w:t>年</w:t>
            </w:r>
          </w:p>
        </w:tc>
        <w:tc>
          <w:tcPr>
            <w:tcW w:w="2817" w:type="pct"/>
            <w:vAlign w:val="center"/>
          </w:tcPr>
          <w:p w14:paraId="2A3860FA"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《国家信息化发展战略纲要》</w:t>
            </w:r>
          </w:p>
        </w:tc>
        <w:tc>
          <w:tcPr>
            <w:tcW w:w="1621" w:type="pct"/>
            <w:vAlign w:val="center"/>
          </w:tcPr>
          <w:p w14:paraId="4FED2DF6"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国务院</w:t>
            </w:r>
          </w:p>
        </w:tc>
      </w:tr>
      <w:tr w:rsidR="00BD3166" w14:paraId="592AB4D4" w14:textId="77777777">
        <w:trPr>
          <w:trHeight w:val="397"/>
        </w:trPr>
        <w:tc>
          <w:tcPr>
            <w:tcW w:w="562" w:type="pct"/>
            <w:noWrap/>
            <w:vAlign w:val="center"/>
          </w:tcPr>
          <w:p w14:paraId="4D2CA280" w14:textId="77777777" w:rsidR="00BD3166" w:rsidRDefault="00C64679">
            <w:pPr>
              <w:widowControl/>
              <w:jc w:val="center"/>
              <w:rPr>
                <w:rFonts w:ascii="Times New Roman" w:hAnsi="Times New Roman" w:cs="Times New Roman"/>
              </w:rPr>
            </w:pPr>
            <w:r>
              <w:rPr>
                <w:rFonts w:ascii="Times New Roman" w:hAnsi="Times New Roman" w:cs="Times New Roman"/>
              </w:rPr>
              <w:t>2016</w:t>
            </w:r>
            <w:r>
              <w:rPr>
                <w:rFonts w:ascii="Times New Roman" w:hAnsi="Times New Roman" w:cs="Times New Roman"/>
              </w:rPr>
              <w:t>年</w:t>
            </w:r>
          </w:p>
        </w:tc>
        <w:tc>
          <w:tcPr>
            <w:tcW w:w="2817" w:type="pct"/>
            <w:vAlign w:val="center"/>
          </w:tcPr>
          <w:p w14:paraId="4462EF9A"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rPr>
              <w:t>《</w:t>
            </w:r>
            <w:r>
              <w:rPr>
                <w:rFonts w:ascii="Times New Roman" w:hAnsi="Times New Roman" w:cs="Times New Roman"/>
              </w:rPr>
              <w:t>“</w:t>
            </w:r>
            <w:r>
              <w:rPr>
                <w:rFonts w:ascii="Times New Roman" w:hAnsi="Times New Roman" w:cs="Times New Roman"/>
              </w:rPr>
              <w:t>十三五</w:t>
            </w:r>
            <w:r>
              <w:rPr>
                <w:rFonts w:ascii="Times New Roman" w:hAnsi="Times New Roman" w:cs="Times New Roman"/>
              </w:rPr>
              <w:t>”</w:t>
            </w:r>
            <w:r>
              <w:rPr>
                <w:rFonts w:ascii="Times New Roman" w:hAnsi="Times New Roman" w:cs="Times New Roman"/>
              </w:rPr>
              <w:t>国家科技创新规划》</w:t>
            </w:r>
          </w:p>
        </w:tc>
        <w:tc>
          <w:tcPr>
            <w:tcW w:w="1621" w:type="pct"/>
            <w:vAlign w:val="center"/>
          </w:tcPr>
          <w:p w14:paraId="228EBE64"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国务院</w:t>
            </w:r>
          </w:p>
        </w:tc>
      </w:tr>
      <w:tr w:rsidR="00BD3166" w14:paraId="35EDAE28" w14:textId="77777777">
        <w:trPr>
          <w:trHeight w:val="397"/>
        </w:trPr>
        <w:tc>
          <w:tcPr>
            <w:tcW w:w="562" w:type="pct"/>
            <w:noWrap/>
            <w:vAlign w:val="center"/>
          </w:tcPr>
          <w:p w14:paraId="56681330"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rPr>
              <w:t>2016</w:t>
            </w:r>
            <w:r>
              <w:rPr>
                <w:rFonts w:ascii="Times New Roman" w:hAnsi="Times New Roman" w:cs="Times New Roman"/>
              </w:rPr>
              <w:t>年</w:t>
            </w:r>
          </w:p>
        </w:tc>
        <w:tc>
          <w:tcPr>
            <w:tcW w:w="2817" w:type="pct"/>
            <w:vAlign w:val="center"/>
          </w:tcPr>
          <w:p w14:paraId="71B50109"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w:t>
            </w:r>
            <w:r>
              <w:rPr>
                <w:rFonts w:ascii="Times New Roman" w:hAnsi="Times New Roman" w:cs="Times New Roman"/>
                <w:color w:val="000000"/>
                <w:szCs w:val="21"/>
              </w:rPr>
              <w:t>十三五</w:t>
            </w:r>
            <w:r>
              <w:rPr>
                <w:rFonts w:ascii="Times New Roman" w:hAnsi="Times New Roman" w:cs="Times New Roman"/>
                <w:color w:val="000000"/>
                <w:szCs w:val="21"/>
              </w:rPr>
              <w:t>”</w:t>
            </w:r>
            <w:r>
              <w:rPr>
                <w:rFonts w:ascii="Times New Roman" w:hAnsi="Times New Roman" w:cs="Times New Roman"/>
                <w:color w:val="000000"/>
                <w:szCs w:val="21"/>
              </w:rPr>
              <w:t>国家战略性新兴产业发展规划》</w:t>
            </w:r>
          </w:p>
        </w:tc>
        <w:tc>
          <w:tcPr>
            <w:tcW w:w="1621" w:type="pct"/>
            <w:vAlign w:val="center"/>
          </w:tcPr>
          <w:p w14:paraId="47F5A5FD"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国务院</w:t>
            </w:r>
          </w:p>
        </w:tc>
      </w:tr>
      <w:tr w:rsidR="00BD3166" w14:paraId="7BD6F6D8" w14:textId="77777777">
        <w:trPr>
          <w:trHeight w:val="397"/>
        </w:trPr>
        <w:tc>
          <w:tcPr>
            <w:tcW w:w="562" w:type="pct"/>
            <w:noWrap/>
            <w:vAlign w:val="center"/>
          </w:tcPr>
          <w:p w14:paraId="7A3F06CD"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rPr>
              <w:t>2016</w:t>
            </w:r>
            <w:r>
              <w:rPr>
                <w:rFonts w:ascii="Times New Roman" w:hAnsi="Times New Roman" w:cs="Times New Roman"/>
              </w:rPr>
              <w:t>年</w:t>
            </w:r>
          </w:p>
        </w:tc>
        <w:tc>
          <w:tcPr>
            <w:tcW w:w="2817" w:type="pct"/>
            <w:vAlign w:val="center"/>
          </w:tcPr>
          <w:p w14:paraId="5EF4D13E"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zCs w:val="21"/>
              </w:rPr>
              <w:t>“</w:t>
            </w:r>
            <w:r>
              <w:rPr>
                <w:rFonts w:ascii="Times New Roman" w:hAnsi="Times New Roman" w:cs="Times New Roman"/>
                <w:color w:val="000000"/>
                <w:szCs w:val="21"/>
              </w:rPr>
              <w:t>十三五</w:t>
            </w:r>
            <w:r>
              <w:rPr>
                <w:rFonts w:ascii="Times New Roman" w:hAnsi="Times New Roman" w:cs="Times New Roman"/>
                <w:color w:val="000000"/>
                <w:szCs w:val="21"/>
              </w:rPr>
              <w:t>”</w:t>
            </w:r>
            <w:r>
              <w:rPr>
                <w:rFonts w:ascii="Times New Roman" w:hAnsi="Times New Roman" w:cs="Times New Roman"/>
                <w:color w:val="000000"/>
                <w:szCs w:val="21"/>
              </w:rPr>
              <w:t>国家信息化规划》</w:t>
            </w:r>
          </w:p>
        </w:tc>
        <w:tc>
          <w:tcPr>
            <w:tcW w:w="1621" w:type="pct"/>
            <w:vAlign w:val="center"/>
          </w:tcPr>
          <w:p w14:paraId="710C3194"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国务院</w:t>
            </w:r>
          </w:p>
        </w:tc>
      </w:tr>
      <w:tr w:rsidR="00BD3166" w14:paraId="56892B43" w14:textId="77777777">
        <w:trPr>
          <w:trHeight w:val="397"/>
        </w:trPr>
        <w:tc>
          <w:tcPr>
            <w:tcW w:w="562" w:type="pct"/>
            <w:noWrap/>
            <w:vAlign w:val="center"/>
          </w:tcPr>
          <w:p w14:paraId="00C8B4E2"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rPr>
              <w:t>2016</w:t>
            </w:r>
            <w:r>
              <w:rPr>
                <w:rFonts w:ascii="Times New Roman" w:hAnsi="Times New Roman" w:cs="Times New Roman"/>
              </w:rPr>
              <w:t>年</w:t>
            </w:r>
          </w:p>
        </w:tc>
        <w:tc>
          <w:tcPr>
            <w:tcW w:w="2817" w:type="pct"/>
            <w:vAlign w:val="center"/>
          </w:tcPr>
          <w:p w14:paraId="2ECFF1AF"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《信息产业发展指南》</w:t>
            </w:r>
          </w:p>
        </w:tc>
        <w:tc>
          <w:tcPr>
            <w:tcW w:w="1621" w:type="pct"/>
            <w:vAlign w:val="center"/>
          </w:tcPr>
          <w:p w14:paraId="7A778729" w14:textId="77777777" w:rsidR="00BD3166" w:rsidRDefault="00C64679">
            <w:pPr>
              <w:widowControl/>
              <w:jc w:val="center"/>
              <w:rPr>
                <w:rFonts w:ascii="Times New Roman" w:hAnsi="Times New Roman" w:cs="Times New Roman"/>
                <w:color w:val="000000"/>
                <w:szCs w:val="21"/>
              </w:rPr>
            </w:pPr>
            <w:proofErr w:type="gramStart"/>
            <w:r>
              <w:rPr>
                <w:rFonts w:ascii="Times New Roman" w:hAnsi="Times New Roman" w:cs="Times New Roman"/>
                <w:color w:val="000000"/>
                <w:szCs w:val="21"/>
              </w:rPr>
              <w:t>发改委</w:t>
            </w:r>
            <w:proofErr w:type="gramEnd"/>
            <w:r>
              <w:rPr>
                <w:rFonts w:ascii="Times New Roman" w:hAnsi="Times New Roman" w:cs="Times New Roman"/>
                <w:color w:val="000000"/>
                <w:szCs w:val="21"/>
              </w:rPr>
              <w:t>、工信部</w:t>
            </w:r>
          </w:p>
        </w:tc>
      </w:tr>
      <w:tr w:rsidR="00BD3166" w14:paraId="79BAD71C" w14:textId="77777777">
        <w:trPr>
          <w:trHeight w:val="397"/>
        </w:trPr>
        <w:tc>
          <w:tcPr>
            <w:tcW w:w="562" w:type="pct"/>
            <w:noWrap/>
            <w:vAlign w:val="center"/>
          </w:tcPr>
          <w:p w14:paraId="674D9935"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2017</w:t>
            </w:r>
            <w:r>
              <w:rPr>
                <w:rFonts w:ascii="Times New Roman" w:hAnsi="Times New Roman" w:cs="Times New Roman"/>
                <w:color w:val="000000"/>
                <w:szCs w:val="21"/>
              </w:rPr>
              <w:t>年</w:t>
            </w:r>
          </w:p>
        </w:tc>
        <w:tc>
          <w:tcPr>
            <w:tcW w:w="2817" w:type="pct"/>
            <w:vAlign w:val="center"/>
          </w:tcPr>
          <w:p w14:paraId="26FB675D"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《国家高新技术产业开发区</w:t>
            </w:r>
            <w:r>
              <w:rPr>
                <w:rFonts w:ascii="Times New Roman" w:hAnsi="Times New Roman" w:cs="Times New Roman"/>
                <w:color w:val="000000"/>
                <w:szCs w:val="21"/>
              </w:rPr>
              <w:t>“</w:t>
            </w:r>
            <w:r>
              <w:rPr>
                <w:rFonts w:ascii="Times New Roman" w:hAnsi="Times New Roman" w:cs="Times New Roman"/>
                <w:color w:val="000000"/>
                <w:szCs w:val="21"/>
              </w:rPr>
              <w:t>十三五</w:t>
            </w:r>
            <w:r>
              <w:rPr>
                <w:rFonts w:ascii="Times New Roman" w:hAnsi="Times New Roman" w:cs="Times New Roman"/>
                <w:color w:val="000000"/>
                <w:szCs w:val="21"/>
              </w:rPr>
              <w:t>”</w:t>
            </w:r>
            <w:r>
              <w:rPr>
                <w:rFonts w:ascii="Times New Roman" w:hAnsi="Times New Roman" w:cs="Times New Roman"/>
                <w:color w:val="000000"/>
                <w:szCs w:val="21"/>
              </w:rPr>
              <w:t>发展规划》</w:t>
            </w:r>
          </w:p>
        </w:tc>
        <w:tc>
          <w:tcPr>
            <w:tcW w:w="1621" w:type="pct"/>
            <w:vAlign w:val="center"/>
          </w:tcPr>
          <w:p w14:paraId="15B91DD9"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科技部</w:t>
            </w:r>
          </w:p>
        </w:tc>
      </w:tr>
      <w:tr w:rsidR="00BD3166" w14:paraId="560E2376" w14:textId="77777777">
        <w:trPr>
          <w:trHeight w:val="397"/>
        </w:trPr>
        <w:tc>
          <w:tcPr>
            <w:tcW w:w="562" w:type="pct"/>
            <w:noWrap/>
            <w:vAlign w:val="center"/>
          </w:tcPr>
          <w:p w14:paraId="0FDB3FBE"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2018</w:t>
            </w:r>
            <w:r>
              <w:rPr>
                <w:rFonts w:ascii="Times New Roman" w:hAnsi="Times New Roman" w:cs="Times New Roman"/>
                <w:color w:val="000000"/>
                <w:szCs w:val="21"/>
              </w:rPr>
              <w:t>年</w:t>
            </w:r>
          </w:p>
        </w:tc>
        <w:tc>
          <w:tcPr>
            <w:tcW w:w="2817" w:type="pct"/>
            <w:vAlign w:val="center"/>
          </w:tcPr>
          <w:p w14:paraId="69290528"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《关于集成电路生产企业有关企业所得税政策问题的通知》</w:t>
            </w:r>
          </w:p>
        </w:tc>
        <w:tc>
          <w:tcPr>
            <w:tcW w:w="1621" w:type="pct"/>
            <w:vAlign w:val="center"/>
          </w:tcPr>
          <w:p w14:paraId="65B7C504" w14:textId="77777777" w:rsidR="00BD3166" w:rsidRDefault="00C64679">
            <w:pPr>
              <w:rPr>
                <w:rFonts w:ascii="Times New Roman" w:hAnsi="Times New Roman" w:cs="Times New Roman"/>
                <w:color w:val="000000"/>
                <w:szCs w:val="21"/>
              </w:rPr>
            </w:pPr>
            <w:r>
              <w:rPr>
                <w:rFonts w:ascii="Times New Roman" w:hAnsi="Times New Roman" w:cs="Times New Roman"/>
                <w:color w:val="000000"/>
                <w:szCs w:val="21"/>
              </w:rPr>
              <w:t>财政部、国家税务总局、国家发展改革委、工信部</w:t>
            </w:r>
          </w:p>
        </w:tc>
      </w:tr>
      <w:tr w:rsidR="00BD3166" w14:paraId="01C0D64E" w14:textId="77777777">
        <w:trPr>
          <w:trHeight w:val="397"/>
        </w:trPr>
        <w:tc>
          <w:tcPr>
            <w:tcW w:w="562" w:type="pct"/>
            <w:noWrap/>
            <w:vAlign w:val="center"/>
          </w:tcPr>
          <w:p w14:paraId="77734D1E"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hint="eastAsia"/>
                <w:color w:val="000000"/>
                <w:szCs w:val="21"/>
              </w:rPr>
              <w:t>2</w:t>
            </w:r>
            <w:r>
              <w:rPr>
                <w:rFonts w:ascii="Times New Roman" w:hAnsi="Times New Roman" w:cs="Times New Roman"/>
                <w:color w:val="000000"/>
                <w:szCs w:val="21"/>
              </w:rPr>
              <w:t>018</w:t>
            </w:r>
            <w:r>
              <w:rPr>
                <w:rFonts w:ascii="Times New Roman" w:hAnsi="Times New Roman" w:cs="Times New Roman"/>
                <w:color w:val="000000"/>
                <w:szCs w:val="21"/>
              </w:rPr>
              <w:t>年</w:t>
            </w:r>
          </w:p>
        </w:tc>
        <w:tc>
          <w:tcPr>
            <w:tcW w:w="2817" w:type="pct"/>
            <w:vAlign w:val="center"/>
          </w:tcPr>
          <w:p w14:paraId="1D625D47"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hint="eastAsia"/>
                <w:color w:val="000000"/>
                <w:szCs w:val="21"/>
              </w:rPr>
              <w:t>《人力资源社会保障部办公厅</w:t>
            </w:r>
            <w:r>
              <w:rPr>
                <w:rFonts w:ascii="Times New Roman" w:hAnsi="Times New Roman" w:cs="Times New Roman" w:hint="eastAsia"/>
                <w:color w:val="000000"/>
                <w:szCs w:val="21"/>
              </w:rPr>
              <w:t xml:space="preserve"> </w:t>
            </w:r>
            <w:r>
              <w:rPr>
                <w:rFonts w:ascii="Times New Roman" w:hAnsi="Times New Roman" w:cs="Times New Roman" w:hint="eastAsia"/>
                <w:color w:val="000000"/>
                <w:szCs w:val="21"/>
              </w:rPr>
              <w:t>中国人民银行办公厅关于开展具有金融功能的第三代社会保障卡先行启动建设工作的通知》</w:t>
            </w:r>
          </w:p>
        </w:tc>
        <w:tc>
          <w:tcPr>
            <w:tcW w:w="1621" w:type="pct"/>
            <w:vAlign w:val="center"/>
          </w:tcPr>
          <w:p w14:paraId="61A13D7D" w14:textId="77777777" w:rsidR="00BD3166" w:rsidRDefault="00C64679">
            <w:pPr>
              <w:jc w:val="center"/>
              <w:rPr>
                <w:rFonts w:ascii="Times New Roman" w:hAnsi="Times New Roman" w:cs="Times New Roman"/>
                <w:color w:val="000000"/>
                <w:szCs w:val="21"/>
              </w:rPr>
            </w:pPr>
            <w:r>
              <w:rPr>
                <w:rFonts w:ascii="Times New Roman" w:hAnsi="Times New Roman" w:cs="Times New Roman" w:hint="eastAsia"/>
                <w:color w:val="000000"/>
                <w:szCs w:val="21"/>
              </w:rPr>
              <w:t>人力资源社会保障部、中国人民银行</w:t>
            </w:r>
          </w:p>
        </w:tc>
      </w:tr>
      <w:tr w:rsidR="00BD3166" w14:paraId="565BE6B1" w14:textId="77777777">
        <w:trPr>
          <w:trHeight w:val="397"/>
        </w:trPr>
        <w:tc>
          <w:tcPr>
            <w:tcW w:w="562" w:type="pct"/>
            <w:noWrap/>
            <w:vAlign w:val="center"/>
          </w:tcPr>
          <w:p w14:paraId="5DEA2568"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2019</w:t>
            </w:r>
            <w:r>
              <w:rPr>
                <w:rFonts w:ascii="Times New Roman" w:hAnsi="Times New Roman" w:cs="Times New Roman"/>
                <w:color w:val="000000"/>
                <w:szCs w:val="21"/>
              </w:rPr>
              <w:t>年</w:t>
            </w:r>
          </w:p>
        </w:tc>
        <w:tc>
          <w:tcPr>
            <w:tcW w:w="2817" w:type="pct"/>
            <w:vAlign w:val="center"/>
          </w:tcPr>
          <w:p w14:paraId="7AA9F407"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《关于促进制造业产品和服务质量提升的实施意见》</w:t>
            </w:r>
          </w:p>
        </w:tc>
        <w:tc>
          <w:tcPr>
            <w:tcW w:w="1621" w:type="pct"/>
            <w:vAlign w:val="center"/>
          </w:tcPr>
          <w:p w14:paraId="65039AF0"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工信部</w:t>
            </w:r>
          </w:p>
        </w:tc>
      </w:tr>
      <w:tr w:rsidR="00BD3166" w14:paraId="6C26CC0D" w14:textId="77777777">
        <w:trPr>
          <w:trHeight w:val="397"/>
        </w:trPr>
        <w:tc>
          <w:tcPr>
            <w:tcW w:w="562" w:type="pct"/>
            <w:noWrap/>
            <w:vAlign w:val="center"/>
          </w:tcPr>
          <w:p w14:paraId="1EADF7A8"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2020</w:t>
            </w:r>
            <w:r>
              <w:rPr>
                <w:rFonts w:ascii="Times New Roman" w:hAnsi="Times New Roman" w:cs="Times New Roman"/>
                <w:color w:val="000000"/>
                <w:szCs w:val="21"/>
              </w:rPr>
              <w:t>年</w:t>
            </w:r>
          </w:p>
        </w:tc>
        <w:tc>
          <w:tcPr>
            <w:tcW w:w="2817" w:type="pct"/>
            <w:vAlign w:val="center"/>
          </w:tcPr>
          <w:p w14:paraId="1302BC54"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《新时期促进集成电路产业和软件产业高质量发展的若干政策》</w:t>
            </w:r>
          </w:p>
        </w:tc>
        <w:tc>
          <w:tcPr>
            <w:tcW w:w="1621" w:type="pct"/>
            <w:vAlign w:val="center"/>
          </w:tcPr>
          <w:p w14:paraId="6AFFA340"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国务院</w:t>
            </w:r>
          </w:p>
        </w:tc>
      </w:tr>
      <w:tr w:rsidR="00BD3166" w14:paraId="0F0B55B1" w14:textId="77777777">
        <w:trPr>
          <w:trHeight w:val="397"/>
        </w:trPr>
        <w:tc>
          <w:tcPr>
            <w:tcW w:w="562" w:type="pct"/>
            <w:noWrap/>
            <w:vAlign w:val="center"/>
          </w:tcPr>
          <w:p w14:paraId="276F0E07"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color w:val="000000"/>
                <w:szCs w:val="21"/>
              </w:rPr>
              <w:t>2020</w:t>
            </w:r>
            <w:r>
              <w:rPr>
                <w:rFonts w:ascii="Times New Roman" w:hAnsi="Times New Roman" w:cs="Times New Roman"/>
                <w:color w:val="000000"/>
                <w:szCs w:val="21"/>
              </w:rPr>
              <w:t>年</w:t>
            </w:r>
          </w:p>
        </w:tc>
        <w:tc>
          <w:tcPr>
            <w:tcW w:w="2817" w:type="pct"/>
            <w:vAlign w:val="center"/>
          </w:tcPr>
          <w:p w14:paraId="6A79ED65"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hint="eastAsia"/>
                <w:color w:val="000000"/>
                <w:szCs w:val="21"/>
              </w:rPr>
              <w:t>《人力资源社会保障部办公厅</w:t>
            </w:r>
            <w:r>
              <w:rPr>
                <w:rFonts w:ascii="Times New Roman" w:hAnsi="Times New Roman" w:cs="Times New Roman" w:hint="eastAsia"/>
                <w:color w:val="000000"/>
                <w:szCs w:val="21"/>
              </w:rPr>
              <w:t xml:space="preserve"> </w:t>
            </w:r>
            <w:r>
              <w:rPr>
                <w:rFonts w:ascii="Times New Roman" w:hAnsi="Times New Roman" w:cs="Times New Roman" w:hint="eastAsia"/>
                <w:color w:val="000000"/>
                <w:szCs w:val="21"/>
              </w:rPr>
              <w:t>中国人民银行办公厅关于推广应用具有金融功能的第三代社会保障卡的通知》</w:t>
            </w:r>
          </w:p>
        </w:tc>
        <w:tc>
          <w:tcPr>
            <w:tcW w:w="1621" w:type="pct"/>
            <w:vAlign w:val="center"/>
          </w:tcPr>
          <w:p w14:paraId="62952723" w14:textId="77777777" w:rsidR="00BD3166" w:rsidRDefault="00C64679">
            <w:pPr>
              <w:widowControl/>
              <w:jc w:val="center"/>
              <w:rPr>
                <w:rFonts w:ascii="Times New Roman" w:hAnsi="Times New Roman" w:cs="Times New Roman"/>
                <w:color w:val="000000"/>
                <w:szCs w:val="21"/>
              </w:rPr>
            </w:pPr>
            <w:r>
              <w:rPr>
                <w:rFonts w:ascii="Times New Roman" w:hAnsi="Times New Roman" w:cs="Times New Roman" w:hint="eastAsia"/>
                <w:color w:val="000000"/>
                <w:szCs w:val="21"/>
              </w:rPr>
              <w:t>人力资源社会保障部、中国人民银行</w:t>
            </w:r>
          </w:p>
        </w:tc>
      </w:tr>
    </w:tbl>
    <w:p w14:paraId="40E310F6" w14:textId="77777777" w:rsidR="00BD3166" w:rsidRDefault="00C64679">
      <w:pPr>
        <w:spacing w:line="360" w:lineRule="auto"/>
        <w:ind w:firstLineChars="200" w:firstLine="482"/>
        <w:outlineLvl w:val="2"/>
        <w:rPr>
          <w:rFonts w:ascii="Times New Roman" w:hAnsi="Times New Roman" w:cs="Times New Roman"/>
          <w:b/>
          <w:sz w:val="24"/>
        </w:rPr>
      </w:pPr>
      <w:r>
        <w:rPr>
          <w:rFonts w:ascii="Times New Roman" w:hAnsi="Times New Roman" w:cs="Times New Roman" w:hint="eastAsia"/>
          <w:b/>
          <w:sz w:val="24"/>
        </w:rPr>
        <w:t>（三）安全芯片业务壁垒</w:t>
      </w:r>
    </w:p>
    <w:p w14:paraId="620E86E8"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安全芯片业务壁垒主要包括技术壁垒、资金和规模壁垒、人才壁垒。</w:t>
      </w:r>
    </w:p>
    <w:p w14:paraId="625A4E71" w14:textId="77777777" w:rsidR="00BD3166" w:rsidRDefault="00C64679">
      <w:pPr>
        <w:spacing w:line="360" w:lineRule="auto"/>
        <w:ind w:left="480"/>
        <w:rPr>
          <w:rFonts w:ascii="Times New Roman" w:hAnsi="Times New Roman" w:cs="Times New Roman"/>
          <w:b/>
          <w:sz w:val="24"/>
        </w:rPr>
      </w:pPr>
      <w:r>
        <w:rPr>
          <w:rFonts w:ascii="Times New Roman" w:hAnsi="Times New Roman" w:cs="Times New Roman" w:hint="eastAsia"/>
          <w:b/>
          <w:sz w:val="24"/>
        </w:rPr>
        <w:t>1</w:t>
      </w:r>
      <w:r>
        <w:rPr>
          <w:rFonts w:ascii="Times New Roman" w:hAnsi="Times New Roman" w:cs="Times New Roman" w:hint="eastAsia"/>
          <w:b/>
          <w:sz w:val="24"/>
        </w:rPr>
        <w:t>、技术壁垒</w:t>
      </w:r>
    </w:p>
    <w:p w14:paraId="3D802EED"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集成电路设计属于技术密集型行业，集成电路设计行业产品高度的复杂性和专业性决定了进入本行业具有很高的技术壁垒，行业内企业核心技术积累都需要</w:t>
      </w:r>
      <w:r>
        <w:rPr>
          <w:rFonts w:ascii="Times New Roman" w:hAnsi="Times New Roman" w:cs="Times New Roman" w:hint="eastAsia"/>
          <w:sz w:val="24"/>
        </w:rPr>
        <w:lastRenderedPageBreak/>
        <w:t>专业技术研究团队和产品开发团队长时间探索和不断积累才能获得。同时，由于集成电路技术及产品的更新速度很快，要求企业具备较强的持续创新能力，不断满足多变的市场需求。因此，行业内的后来者往往需要经历一段较长的技术摸索和积累时期，才能和业内已经占据技术优势的企业相抗衡。对新进入者而言，短期内无法突破核心技术壁垒。</w:t>
      </w:r>
    </w:p>
    <w:p w14:paraId="799506D2" w14:textId="77777777" w:rsidR="00BD3166" w:rsidRDefault="00C64679">
      <w:pPr>
        <w:spacing w:line="360" w:lineRule="auto"/>
        <w:ind w:left="480"/>
        <w:rPr>
          <w:rFonts w:ascii="Times New Roman" w:hAnsi="Times New Roman" w:cs="Times New Roman"/>
          <w:b/>
          <w:sz w:val="24"/>
        </w:rPr>
      </w:pPr>
      <w:r>
        <w:rPr>
          <w:rFonts w:ascii="Times New Roman" w:hAnsi="Times New Roman" w:cs="Times New Roman" w:hint="eastAsia"/>
          <w:b/>
          <w:sz w:val="24"/>
        </w:rPr>
        <w:t>2</w:t>
      </w:r>
      <w:r>
        <w:rPr>
          <w:rFonts w:ascii="Times New Roman" w:hAnsi="Times New Roman" w:cs="Times New Roman" w:hint="eastAsia"/>
          <w:b/>
          <w:sz w:val="24"/>
        </w:rPr>
        <w:t>、资金和规模壁垒</w:t>
      </w:r>
    </w:p>
    <w:p w14:paraId="6533A67D"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集成电路设计行业具有投入大、回报周期长、风险高的特点。一方面，集成电路设计行业前期需要耗费大量资金用于技术研发和产品开发，行业研发人员工资水平较高，需要较多的人力成本投入。为保持技术的先进性、工艺的领先性和产品的市场竞争力，集成电路设计企业需进行持续的资本投入。另一方面，芯片产品单位售价相对较低，因此企业研发的芯片产品市场销售数量需要高达千万颗才能实现盈亏平衡，对后进者而言构成了行业资金和规模壁垒。</w:t>
      </w:r>
    </w:p>
    <w:p w14:paraId="09870186"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hint="eastAsia"/>
          <w:b/>
          <w:sz w:val="24"/>
        </w:rPr>
        <w:t>3</w:t>
      </w:r>
      <w:r>
        <w:rPr>
          <w:rFonts w:ascii="Times New Roman" w:hAnsi="Times New Roman" w:cs="Times New Roman" w:hint="eastAsia"/>
          <w:b/>
          <w:sz w:val="24"/>
        </w:rPr>
        <w:t>、人才壁垒</w:t>
      </w:r>
    </w:p>
    <w:p w14:paraId="1B522BAD"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芯片设计行业是知识密集型行业。高素质的经营管理团队、富有技术创新理念的研发队伍和富有经验的产业化人才是企业高速发展、保持竞争力的重要保障。目前，我国芯片设计行业的高端技术人才相对稀缺，而优秀的管理人才和产业化人才通常都集中于行业领先企业，企业之间人才争夺激烈。对于市场新进入者，人才成为重要行业壁垒。</w:t>
      </w:r>
    </w:p>
    <w:p w14:paraId="3A6255F4" w14:textId="77777777" w:rsidR="00BD3166" w:rsidRDefault="00C64679">
      <w:pPr>
        <w:spacing w:line="360" w:lineRule="auto"/>
        <w:ind w:firstLineChars="200" w:firstLine="482"/>
        <w:outlineLvl w:val="2"/>
        <w:rPr>
          <w:rFonts w:ascii="Times New Roman" w:hAnsi="Times New Roman" w:cs="Times New Roman"/>
          <w:b/>
          <w:sz w:val="24"/>
        </w:rPr>
      </w:pPr>
      <w:r>
        <w:rPr>
          <w:rFonts w:ascii="Times New Roman" w:hAnsi="Times New Roman" w:cs="Times New Roman" w:hint="eastAsia"/>
          <w:b/>
          <w:sz w:val="24"/>
        </w:rPr>
        <w:t>（四）标的公司行业所处地位和竞争对手</w:t>
      </w:r>
    </w:p>
    <w:p w14:paraId="69883DC4"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大唐微电子作为国家多项重大科研项目承担企业，拥有从芯片设计、</w:t>
      </w:r>
      <w:r>
        <w:rPr>
          <w:rFonts w:ascii="Times New Roman" w:hAnsi="Times New Roman" w:cs="Times New Roman" w:hint="eastAsia"/>
          <w:sz w:val="24"/>
        </w:rPr>
        <w:t>COS(Chip Operating System)</w:t>
      </w:r>
      <w:r>
        <w:rPr>
          <w:rFonts w:ascii="Times New Roman" w:hAnsi="Times New Roman" w:cs="Times New Roman" w:hint="eastAsia"/>
          <w:sz w:val="24"/>
        </w:rPr>
        <w:t>开发、系统平台开发、系统应用开发和终端产品设计的经验及人才优势，是国家指定的第二代居民身份证芯片四家定点企业之一，身份证卡模块两家定点企业之一。大唐微电子安全芯片业务在国内市场具有一定的市场地位，大唐微电子金融</w:t>
      </w:r>
      <w:r>
        <w:rPr>
          <w:rFonts w:ascii="Times New Roman" w:hAnsi="Times New Roman" w:cs="Times New Roman" w:hint="eastAsia"/>
          <w:sz w:val="24"/>
        </w:rPr>
        <w:t>IC</w:t>
      </w:r>
      <w:r>
        <w:rPr>
          <w:rFonts w:ascii="Times New Roman" w:hAnsi="Times New Roman" w:cs="Times New Roman" w:hint="eastAsia"/>
          <w:sz w:val="24"/>
        </w:rPr>
        <w:t>卡芯片产品通过国际</w:t>
      </w:r>
      <w:r>
        <w:rPr>
          <w:rFonts w:ascii="Times New Roman" w:hAnsi="Times New Roman" w:cs="Times New Roman" w:hint="eastAsia"/>
          <w:sz w:val="24"/>
        </w:rPr>
        <w:t>CC EAL5+</w:t>
      </w:r>
      <w:r>
        <w:rPr>
          <w:rFonts w:ascii="Times New Roman" w:hAnsi="Times New Roman" w:cs="Times New Roman" w:hint="eastAsia"/>
          <w:sz w:val="24"/>
        </w:rPr>
        <w:t>、</w:t>
      </w:r>
      <w:r>
        <w:rPr>
          <w:rFonts w:ascii="Times New Roman" w:hAnsi="Times New Roman" w:cs="Times New Roman" w:hint="eastAsia"/>
          <w:sz w:val="24"/>
        </w:rPr>
        <w:t>EMVCo</w:t>
      </w:r>
      <w:r>
        <w:rPr>
          <w:rFonts w:ascii="Times New Roman" w:hAnsi="Times New Roman" w:cs="Times New Roman" w:hint="eastAsia"/>
          <w:sz w:val="24"/>
        </w:rPr>
        <w:t>和银联芯片安全等认证，通过银行卡检测中心</w:t>
      </w:r>
      <w:r>
        <w:rPr>
          <w:rFonts w:ascii="Times New Roman" w:hAnsi="Times New Roman" w:cs="Times New Roman" w:hint="eastAsia"/>
          <w:sz w:val="24"/>
        </w:rPr>
        <w:t>PBOC3.0/UICS</w:t>
      </w:r>
      <w:r>
        <w:rPr>
          <w:rFonts w:ascii="Times New Roman" w:hAnsi="Times New Roman" w:cs="Times New Roman" w:hint="eastAsia"/>
          <w:sz w:val="24"/>
        </w:rPr>
        <w:t>应用检测，产品可广泛应用于金融领域和其它相关领域，已实现建设银行、农业银行、中国银行、邮储银行、招商银行、广发银行、浦发银行、平安银行等</w:t>
      </w:r>
      <w:r>
        <w:rPr>
          <w:rFonts w:ascii="Times New Roman" w:hAnsi="Times New Roman" w:cs="Times New Roman" w:hint="eastAsia"/>
          <w:sz w:val="24"/>
        </w:rPr>
        <w:t>100</w:t>
      </w:r>
      <w:r>
        <w:rPr>
          <w:rFonts w:ascii="Times New Roman" w:hAnsi="Times New Roman" w:cs="Times New Roman" w:hint="eastAsia"/>
          <w:sz w:val="24"/>
        </w:rPr>
        <w:t>余家全国或地方商业银行的入围或商用。大唐微电子终端安全芯片已实现在税控盘、</w:t>
      </w:r>
      <w:proofErr w:type="gramStart"/>
      <w:r>
        <w:rPr>
          <w:rFonts w:ascii="Times New Roman" w:hAnsi="Times New Roman" w:cs="Times New Roman" w:hint="eastAsia"/>
          <w:sz w:val="24"/>
        </w:rPr>
        <w:t>蓝牙读卡</w:t>
      </w:r>
      <w:proofErr w:type="gramEnd"/>
      <w:r>
        <w:rPr>
          <w:rFonts w:ascii="Times New Roman" w:hAnsi="Times New Roman" w:cs="Times New Roman" w:hint="eastAsia"/>
          <w:sz w:val="24"/>
        </w:rPr>
        <w:t>器、双界面读卡器、电磁屏等领域的商用。</w:t>
      </w:r>
    </w:p>
    <w:p w14:paraId="2AB67706" w14:textId="5D67A3D8"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lastRenderedPageBreak/>
        <w:t>大唐微电子主营业务为安全芯片设计，同行业与大唐微电子从事相同业务的主要竞争对手包括</w:t>
      </w:r>
      <w:proofErr w:type="gramStart"/>
      <w:r>
        <w:rPr>
          <w:rFonts w:ascii="Times New Roman" w:hAnsi="Times New Roman" w:cs="Times New Roman" w:hint="eastAsia"/>
          <w:sz w:val="24"/>
        </w:rPr>
        <w:t>紫光国芯微电子</w:t>
      </w:r>
      <w:proofErr w:type="gramEnd"/>
      <w:r>
        <w:rPr>
          <w:rFonts w:ascii="Times New Roman" w:hAnsi="Times New Roman" w:cs="Times New Roman" w:hint="eastAsia"/>
          <w:sz w:val="24"/>
        </w:rPr>
        <w:t>股份有限公司、华大半导体有限公司、国民技术股份有限公司等安全芯片设计厂商。上述公司未列为市场法可比公司的原因是：考虑竞争对手时仅考虑其是否直接从事有与标的公司相同的业务，而该等竞争对手可能还存在较多其他业务，该等业务不属于同一行业或同一行业中的竞争产品；而选取可比公司时除考虑业务相近外还需考虑财务指标的可比性，前述竞争对手评估基准日一些财务指标不具有可比</w:t>
      </w:r>
      <w:proofErr w:type="gramStart"/>
      <w:r>
        <w:rPr>
          <w:rFonts w:ascii="Times New Roman" w:hAnsi="Times New Roman" w:cs="Times New Roman" w:hint="eastAsia"/>
          <w:sz w:val="24"/>
        </w:rPr>
        <w:t>性因此</w:t>
      </w:r>
      <w:proofErr w:type="gramEnd"/>
      <w:r>
        <w:rPr>
          <w:rFonts w:ascii="Times New Roman" w:hAnsi="Times New Roman" w:cs="Times New Roman" w:hint="eastAsia"/>
          <w:sz w:val="24"/>
        </w:rPr>
        <w:t>被排除在市场法评估可比公司范围之外。</w:t>
      </w:r>
      <w:proofErr w:type="gramStart"/>
      <w:r>
        <w:rPr>
          <w:rFonts w:ascii="Times New Roman" w:hAnsi="Times New Roman" w:cs="Times New Roman" w:hint="eastAsia"/>
          <w:sz w:val="24"/>
        </w:rPr>
        <w:t>紫光国芯微电子</w:t>
      </w:r>
      <w:proofErr w:type="gramEnd"/>
      <w:r>
        <w:rPr>
          <w:rFonts w:ascii="Times New Roman" w:hAnsi="Times New Roman" w:cs="Times New Roman" w:hint="eastAsia"/>
          <w:sz w:val="24"/>
        </w:rPr>
        <w:t>股份有限公司以智能安全芯片、特种集成电路为两大主业，同时布局半导体功率器件和石英晶体频率器件领域，为移动通信、金融、政务、汽车、工业、物联网等多个行业提供芯片、系统解决方案和终端产品；华大半导体有限公司旗下的华大电子是中国安全芯片技术全面、应用领域广泛、综合实力强的集成电路设计公司，产品线囊括各类智能卡和嵌入式安全芯片；国民技术股份有限公司主要从事自主品牌的集成电路芯片研发设计及销售，并提供相应的系统解决方案和售后的技术支持服务，</w:t>
      </w:r>
      <w:proofErr w:type="gramStart"/>
      <w:r>
        <w:rPr>
          <w:rFonts w:ascii="Times New Roman" w:hAnsi="Times New Roman" w:cs="Times New Roman" w:hint="eastAsia"/>
          <w:sz w:val="24"/>
        </w:rPr>
        <w:t>其虽然</w:t>
      </w:r>
      <w:proofErr w:type="gramEnd"/>
      <w:r>
        <w:rPr>
          <w:rFonts w:ascii="Times New Roman" w:hAnsi="Times New Roman" w:cs="Times New Roman" w:hint="eastAsia"/>
          <w:sz w:val="24"/>
        </w:rPr>
        <w:t>为大唐微电子的竞争对手，但因还从事较多其他业务或财务指标不具有可比性，未列为评估时的可比公司。关于可比公司的选择过程，详见问题</w:t>
      </w:r>
      <w:r>
        <w:rPr>
          <w:rFonts w:ascii="Times New Roman" w:hAnsi="Times New Roman" w:cs="Times New Roman" w:hint="eastAsia"/>
          <w:sz w:val="24"/>
        </w:rPr>
        <w:t>4</w:t>
      </w:r>
      <w:r>
        <w:rPr>
          <w:rFonts w:ascii="Times New Roman" w:hAnsi="Times New Roman" w:cs="Times New Roman" w:hint="eastAsia"/>
          <w:sz w:val="24"/>
        </w:rPr>
        <w:t>的回复。</w:t>
      </w:r>
    </w:p>
    <w:p w14:paraId="3500ED75"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二、标的公司各业务板块的业务模式、盈利模式、结算模式、收入确认政策和时点</w:t>
      </w:r>
    </w:p>
    <w:p w14:paraId="7FA277E5"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（一）标的公司各业务板块的业务模式、盈利模式</w:t>
      </w:r>
    </w:p>
    <w:p w14:paraId="16DE7698"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主营安全芯片业务，主要产品包括二代身份证芯片和模块、社保卡芯片和模块以及金融支付芯片等。大唐微电子按照客户要求或自主进行各类安全芯片的设计，方案设计完成后，采购需求部门提交采购需求，向成熟的芯片生产厂商采购原材料晶圆，到货后公司</w:t>
      </w:r>
      <w:proofErr w:type="gramStart"/>
      <w:r>
        <w:rPr>
          <w:rFonts w:ascii="Times New Roman" w:hAnsi="Times New Roman" w:cs="Times New Roman" w:hint="eastAsia"/>
          <w:sz w:val="24"/>
        </w:rPr>
        <w:t>对晶圆进行</w:t>
      </w:r>
      <w:proofErr w:type="gramEnd"/>
      <w:r>
        <w:rPr>
          <w:rFonts w:ascii="Times New Roman" w:hAnsi="Times New Roman" w:cs="Times New Roman" w:hint="eastAsia"/>
          <w:sz w:val="24"/>
        </w:rPr>
        <w:t>二次加工，加工成客户需求的芯片成品后，交由第三</w:t>
      </w:r>
      <w:proofErr w:type="gramStart"/>
      <w:r>
        <w:rPr>
          <w:rFonts w:ascii="Times New Roman" w:hAnsi="Times New Roman" w:cs="Times New Roman" w:hint="eastAsia"/>
          <w:sz w:val="24"/>
        </w:rPr>
        <w:t>方封测工厂</w:t>
      </w:r>
      <w:proofErr w:type="gramEnd"/>
      <w:r>
        <w:rPr>
          <w:rFonts w:ascii="Times New Roman" w:hAnsi="Times New Roman" w:cs="Times New Roman" w:hint="eastAsia"/>
          <w:sz w:val="24"/>
        </w:rPr>
        <w:t>进行芯片的测试封装，</w:t>
      </w:r>
      <w:proofErr w:type="gramStart"/>
      <w:r>
        <w:rPr>
          <w:rFonts w:ascii="Times New Roman" w:hAnsi="Times New Roman" w:cs="Times New Roman" w:hint="eastAsia"/>
          <w:sz w:val="24"/>
        </w:rPr>
        <w:t>封测完成</w:t>
      </w:r>
      <w:proofErr w:type="gramEnd"/>
      <w:r>
        <w:rPr>
          <w:rFonts w:ascii="Times New Roman" w:hAnsi="Times New Roman" w:cs="Times New Roman" w:hint="eastAsia"/>
          <w:sz w:val="24"/>
        </w:rPr>
        <w:t>后大唐微电子验收入库，最终按照与客户签订的销售合同或订单的要求发货，实现对外销售盈利。</w:t>
      </w:r>
    </w:p>
    <w:p w14:paraId="6F7855FF"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（二）标的公司结算模式、收入确认政策和时点</w:t>
      </w:r>
    </w:p>
    <w:p w14:paraId="7687FAFD"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大唐微电子与供应商、客户之间按</w:t>
      </w:r>
      <w:r>
        <w:rPr>
          <w:rFonts w:ascii="Times New Roman" w:hAnsi="Times New Roman" w:cs="Times New Roman"/>
          <w:sz w:val="24"/>
        </w:rPr>
        <w:t>所签订</w:t>
      </w:r>
      <w:r>
        <w:rPr>
          <w:rFonts w:ascii="Times New Roman" w:hAnsi="Times New Roman" w:cs="Times New Roman" w:hint="eastAsia"/>
          <w:sz w:val="24"/>
        </w:rPr>
        <w:t>合同</w:t>
      </w:r>
      <w:r>
        <w:rPr>
          <w:rFonts w:ascii="Times New Roman" w:hAnsi="Times New Roman" w:cs="Times New Roman"/>
          <w:sz w:val="24"/>
        </w:rPr>
        <w:t>或</w:t>
      </w:r>
      <w:r>
        <w:rPr>
          <w:rFonts w:ascii="Times New Roman" w:hAnsi="Times New Roman" w:cs="Times New Roman" w:hint="eastAsia"/>
          <w:sz w:val="24"/>
        </w:rPr>
        <w:t>订单的约定采用银行转账或开具承兑汇票的结算方式，一般在完成货物验收后的</w:t>
      </w:r>
      <w:r>
        <w:rPr>
          <w:rFonts w:ascii="Times New Roman" w:hAnsi="Times New Roman" w:cs="Times New Roman" w:hint="eastAsia"/>
          <w:sz w:val="24"/>
        </w:rPr>
        <w:t>10-60</w:t>
      </w:r>
      <w:r>
        <w:rPr>
          <w:rFonts w:ascii="Times New Roman" w:hAnsi="Times New Roman" w:cs="Times New Roman" w:hint="eastAsia"/>
          <w:sz w:val="24"/>
        </w:rPr>
        <w:t>天内收到或开具相应</w:t>
      </w:r>
      <w:r>
        <w:rPr>
          <w:rFonts w:ascii="Times New Roman" w:hAnsi="Times New Roman" w:cs="Times New Roman" w:hint="eastAsia"/>
          <w:sz w:val="24"/>
        </w:rPr>
        <w:lastRenderedPageBreak/>
        <w:t>的增值税发票后进行结算。</w:t>
      </w:r>
    </w:p>
    <w:p w14:paraId="59B4B6B7"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营业收入均属于销售商品类收入，对于此类收入，大唐微电子在按照合同或订单的约定将对应商品交付给购买方，商品所有权上的主要风险或报酬转移给购买方，公司不再对该商品实施继续管理权和实际控制权，同时取得对方签收的验收凭证，相关的收入已经取得或取得了收款的依据，且与销售该商品有关的成本能够可靠的计量时，确认商品销售收入的实现。</w:t>
      </w:r>
    </w:p>
    <w:p w14:paraId="04D27F99"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结合所处产业链位置、同行业可比公司等，说明标的公司资产构成与主营业务的匹配度，固定资产折旧政策以及折旧费用计提的合理性，后期标的公司利用前述设备开展经营活动是否存在相关障碍，是否需要新增大额投入</w:t>
      </w:r>
    </w:p>
    <w:p w14:paraId="1A75C064"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（一）结合所处产业链位置、同行业可比公司等，说明标的公司资产构成与主营业务的匹配度，固定资产折旧政策以及折旧费用计提的合理性</w:t>
      </w:r>
    </w:p>
    <w:p w14:paraId="32626B76"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报告期内，大唐微电子主营业务构成及固定资产净值占营业收入比例如下表所示：</w:t>
      </w:r>
    </w:p>
    <w:p w14:paraId="04C14B03" w14:textId="77777777" w:rsidR="00BD3166" w:rsidRDefault="00C64679">
      <w:pPr>
        <w:ind w:firstLineChars="200" w:firstLine="420"/>
        <w:jc w:val="right"/>
        <w:rPr>
          <w:rFonts w:ascii="Times New Roman" w:hAnsi="Times New Roman" w:cs="Times New Roman"/>
        </w:rPr>
      </w:pPr>
      <w:r>
        <w:rPr>
          <w:rFonts w:ascii="Times New Roman" w:hAnsi="Times New Roman" w:cs="Times New Roman" w:hint="eastAsia"/>
        </w:rPr>
        <w:t>单位：万元</w:t>
      </w:r>
    </w:p>
    <w:tbl>
      <w:tblPr>
        <w:tblStyle w:val="ab"/>
        <w:tblW w:w="4998"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70" w:type="dxa"/>
          <w:bottom w:w="20" w:type="dxa"/>
          <w:right w:w="70" w:type="dxa"/>
        </w:tblCellMar>
        <w:tblLook w:val="04A0" w:firstRow="1" w:lastRow="0" w:firstColumn="1" w:lastColumn="0" w:noHBand="0" w:noVBand="1"/>
      </w:tblPr>
      <w:tblGrid>
        <w:gridCol w:w="4486"/>
        <w:gridCol w:w="1319"/>
        <w:gridCol w:w="1319"/>
        <w:gridCol w:w="1319"/>
      </w:tblGrid>
      <w:tr w:rsidR="00BD3166" w14:paraId="6D99CA67" w14:textId="77777777">
        <w:trPr>
          <w:cnfStyle w:val="100000000000" w:firstRow="1" w:lastRow="0" w:firstColumn="0" w:lastColumn="0" w:oddVBand="0" w:evenVBand="0" w:oddHBand="0" w:evenHBand="0" w:firstRowFirstColumn="0" w:firstRowLastColumn="0" w:lastRowFirstColumn="0" w:lastRowLastColumn="0"/>
          <w:cantSplit/>
          <w:trHeight w:val="454"/>
          <w:jc w:val="center"/>
        </w:trPr>
        <w:tc>
          <w:tcPr>
            <w:cnfStyle w:val="001000000100" w:firstRow="0" w:lastRow="0" w:firstColumn="1" w:lastColumn="0" w:oddVBand="0" w:evenVBand="0" w:oddHBand="0" w:evenHBand="0" w:firstRowFirstColumn="1" w:firstRowLastColumn="0" w:lastRowFirstColumn="0" w:lastRowLastColumn="0"/>
            <w:tcW w:w="2654" w:type="pct"/>
            <w:tcBorders>
              <w:tl2br w:val="nil"/>
              <w:tr2bl w:val="nil"/>
            </w:tcBorders>
            <w:vAlign w:val="center"/>
          </w:tcPr>
          <w:p w14:paraId="06676DF6" w14:textId="77777777" w:rsidR="00BD3166" w:rsidRDefault="00C64679">
            <w:pPr>
              <w:widowControl/>
              <w:adjustRightInd w:val="0"/>
              <w:snapToGrid w:val="0"/>
              <w:jc w:val="center"/>
              <w:rPr>
                <w:b/>
                <w:snapToGrid w:val="0"/>
                <w:color w:val="auto"/>
                <w:kern w:val="0"/>
                <w:szCs w:val="21"/>
              </w:rPr>
            </w:pPr>
            <w:r>
              <w:rPr>
                <w:rFonts w:hint="eastAsia"/>
                <w:b/>
                <w:snapToGrid w:val="0"/>
                <w:kern w:val="0"/>
                <w:szCs w:val="21"/>
              </w:rPr>
              <w:t>项目</w:t>
            </w:r>
          </w:p>
        </w:tc>
        <w:tc>
          <w:tcPr>
            <w:tcW w:w="781" w:type="pct"/>
            <w:tcBorders>
              <w:tl2br w:val="nil"/>
              <w:tr2bl w:val="nil"/>
            </w:tcBorders>
            <w:vAlign w:val="center"/>
          </w:tcPr>
          <w:p w14:paraId="48F22EDD"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1"/>
              </w:rPr>
            </w:pPr>
            <w:r>
              <w:rPr>
                <w:b/>
                <w:snapToGrid w:val="0"/>
                <w:kern w:val="0"/>
                <w:szCs w:val="21"/>
              </w:rPr>
              <w:t>2020</w:t>
            </w:r>
            <w:r>
              <w:rPr>
                <w:rFonts w:hint="eastAsia"/>
                <w:b/>
                <w:snapToGrid w:val="0"/>
                <w:kern w:val="0"/>
                <w:szCs w:val="21"/>
              </w:rPr>
              <w:t>年度</w:t>
            </w:r>
          </w:p>
        </w:tc>
        <w:tc>
          <w:tcPr>
            <w:tcW w:w="781" w:type="pct"/>
            <w:tcBorders>
              <w:tl2br w:val="nil"/>
              <w:tr2bl w:val="nil"/>
            </w:tcBorders>
            <w:vAlign w:val="center"/>
          </w:tcPr>
          <w:p w14:paraId="0DFCAC7B"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1"/>
              </w:rPr>
            </w:pPr>
            <w:r>
              <w:rPr>
                <w:b/>
                <w:snapToGrid w:val="0"/>
                <w:kern w:val="0"/>
                <w:szCs w:val="21"/>
              </w:rPr>
              <w:t>2019</w:t>
            </w:r>
            <w:r>
              <w:rPr>
                <w:rFonts w:hint="eastAsia"/>
                <w:b/>
                <w:snapToGrid w:val="0"/>
                <w:kern w:val="0"/>
                <w:szCs w:val="21"/>
              </w:rPr>
              <w:t>年度</w:t>
            </w:r>
          </w:p>
        </w:tc>
        <w:tc>
          <w:tcPr>
            <w:tcW w:w="781" w:type="pct"/>
            <w:tcBorders>
              <w:tl2br w:val="nil"/>
              <w:tr2bl w:val="nil"/>
            </w:tcBorders>
            <w:vAlign w:val="center"/>
          </w:tcPr>
          <w:p w14:paraId="31719625"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1"/>
              </w:rPr>
            </w:pPr>
            <w:r>
              <w:rPr>
                <w:b/>
                <w:snapToGrid w:val="0"/>
                <w:kern w:val="0"/>
                <w:szCs w:val="21"/>
              </w:rPr>
              <w:t>2018</w:t>
            </w:r>
            <w:r>
              <w:rPr>
                <w:rFonts w:hint="eastAsia"/>
                <w:b/>
                <w:snapToGrid w:val="0"/>
                <w:kern w:val="0"/>
                <w:szCs w:val="21"/>
              </w:rPr>
              <w:t>年度</w:t>
            </w:r>
          </w:p>
        </w:tc>
      </w:tr>
      <w:tr w:rsidR="00BD3166" w14:paraId="3CABD9DF" w14:textId="77777777">
        <w:trPr>
          <w:cantSplit/>
          <w:trHeight w:val="454"/>
          <w:jc w:val="center"/>
        </w:trPr>
        <w:tc>
          <w:tcPr>
            <w:cnfStyle w:val="001000000000" w:firstRow="0" w:lastRow="0" w:firstColumn="1" w:lastColumn="0" w:oddVBand="0" w:evenVBand="0" w:oddHBand="0" w:evenHBand="0" w:firstRowFirstColumn="0" w:firstRowLastColumn="0" w:lastRowFirstColumn="0" w:lastRowLastColumn="0"/>
            <w:tcW w:w="2654" w:type="pct"/>
            <w:tcBorders>
              <w:tl2br w:val="nil"/>
              <w:tr2bl w:val="nil"/>
            </w:tcBorders>
            <w:vAlign w:val="center"/>
          </w:tcPr>
          <w:p w14:paraId="3FF6BDC4" w14:textId="77777777" w:rsidR="00BD3166" w:rsidRDefault="00C64679">
            <w:pPr>
              <w:widowControl/>
              <w:adjustRightInd w:val="0"/>
              <w:snapToGrid w:val="0"/>
              <w:jc w:val="left"/>
              <w:rPr>
                <w:snapToGrid w:val="0"/>
                <w:color w:val="auto"/>
                <w:kern w:val="0"/>
                <w:szCs w:val="21"/>
              </w:rPr>
            </w:pPr>
            <w:r>
              <w:rPr>
                <w:rFonts w:hint="eastAsia"/>
                <w:snapToGrid w:val="0"/>
                <w:kern w:val="0"/>
                <w:szCs w:val="21"/>
              </w:rPr>
              <w:t>主营业务收入</w:t>
            </w:r>
          </w:p>
        </w:tc>
        <w:tc>
          <w:tcPr>
            <w:tcW w:w="781" w:type="pct"/>
            <w:tcBorders>
              <w:tl2br w:val="nil"/>
              <w:tr2bl w:val="nil"/>
            </w:tcBorders>
            <w:vAlign w:val="center"/>
          </w:tcPr>
          <w:p w14:paraId="77DAD4DA"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21"/>
              </w:rPr>
            </w:pPr>
            <w:r>
              <w:rPr>
                <w:snapToGrid w:val="0"/>
                <w:kern w:val="0"/>
                <w:szCs w:val="21"/>
              </w:rPr>
              <w:t>35,798.49</w:t>
            </w:r>
          </w:p>
        </w:tc>
        <w:tc>
          <w:tcPr>
            <w:tcW w:w="781" w:type="pct"/>
            <w:tcBorders>
              <w:tl2br w:val="nil"/>
              <w:tr2bl w:val="nil"/>
            </w:tcBorders>
            <w:vAlign w:val="center"/>
          </w:tcPr>
          <w:p w14:paraId="2124A86E"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21"/>
              </w:rPr>
            </w:pPr>
            <w:r>
              <w:rPr>
                <w:snapToGrid w:val="0"/>
                <w:kern w:val="0"/>
                <w:szCs w:val="21"/>
              </w:rPr>
              <w:t>40,981.13</w:t>
            </w:r>
          </w:p>
        </w:tc>
        <w:tc>
          <w:tcPr>
            <w:tcW w:w="781" w:type="pct"/>
            <w:tcBorders>
              <w:tl2br w:val="nil"/>
              <w:tr2bl w:val="nil"/>
            </w:tcBorders>
            <w:vAlign w:val="center"/>
          </w:tcPr>
          <w:p w14:paraId="165E59E8"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21"/>
              </w:rPr>
            </w:pPr>
            <w:r>
              <w:rPr>
                <w:snapToGrid w:val="0"/>
                <w:kern w:val="0"/>
                <w:szCs w:val="21"/>
              </w:rPr>
              <w:t>44,840.61</w:t>
            </w:r>
          </w:p>
        </w:tc>
      </w:tr>
      <w:tr w:rsidR="00BD3166" w14:paraId="1E8AB93C" w14:textId="77777777">
        <w:trPr>
          <w:cantSplit/>
          <w:trHeight w:val="454"/>
          <w:jc w:val="center"/>
        </w:trPr>
        <w:tc>
          <w:tcPr>
            <w:cnfStyle w:val="001000000000" w:firstRow="0" w:lastRow="0" w:firstColumn="1" w:lastColumn="0" w:oddVBand="0" w:evenVBand="0" w:oddHBand="0" w:evenHBand="0" w:firstRowFirstColumn="0" w:firstRowLastColumn="0" w:lastRowFirstColumn="0" w:lastRowLastColumn="0"/>
            <w:tcW w:w="2654" w:type="pct"/>
            <w:tcBorders>
              <w:tl2br w:val="nil"/>
              <w:tr2bl w:val="nil"/>
            </w:tcBorders>
            <w:vAlign w:val="center"/>
          </w:tcPr>
          <w:p w14:paraId="27D20985" w14:textId="77777777" w:rsidR="00BD3166" w:rsidRDefault="00C64679">
            <w:pPr>
              <w:widowControl/>
              <w:adjustRightInd w:val="0"/>
              <w:snapToGrid w:val="0"/>
              <w:jc w:val="left"/>
              <w:rPr>
                <w:bCs/>
                <w:snapToGrid w:val="0"/>
                <w:color w:val="auto"/>
                <w:kern w:val="0"/>
                <w:szCs w:val="21"/>
              </w:rPr>
            </w:pPr>
            <w:r>
              <w:rPr>
                <w:rFonts w:hint="eastAsia"/>
                <w:bCs/>
                <w:snapToGrid w:val="0"/>
                <w:kern w:val="0"/>
                <w:szCs w:val="21"/>
              </w:rPr>
              <w:t>固定资产净值占营业收入比例（</w:t>
            </w:r>
            <w:r>
              <w:rPr>
                <w:bCs/>
                <w:snapToGrid w:val="0"/>
                <w:kern w:val="0"/>
                <w:szCs w:val="21"/>
              </w:rPr>
              <w:t>%</w:t>
            </w:r>
            <w:r>
              <w:rPr>
                <w:rFonts w:hint="eastAsia"/>
                <w:bCs/>
                <w:snapToGrid w:val="0"/>
                <w:kern w:val="0"/>
                <w:szCs w:val="21"/>
              </w:rPr>
              <w:t>）</w:t>
            </w:r>
          </w:p>
        </w:tc>
        <w:tc>
          <w:tcPr>
            <w:tcW w:w="781" w:type="pct"/>
            <w:tcBorders>
              <w:tl2br w:val="nil"/>
              <w:tr2bl w:val="nil"/>
            </w:tcBorders>
            <w:vAlign w:val="center"/>
          </w:tcPr>
          <w:p w14:paraId="3FC3EE0F"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Cs/>
                <w:snapToGrid w:val="0"/>
                <w:color w:val="auto"/>
                <w:kern w:val="0"/>
                <w:szCs w:val="21"/>
              </w:rPr>
            </w:pPr>
            <w:r>
              <w:rPr>
                <w:bCs/>
                <w:snapToGrid w:val="0"/>
                <w:kern w:val="0"/>
                <w:szCs w:val="21"/>
              </w:rPr>
              <w:t>4.94</w:t>
            </w:r>
          </w:p>
        </w:tc>
        <w:tc>
          <w:tcPr>
            <w:tcW w:w="781" w:type="pct"/>
            <w:tcBorders>
              <w:tl2br w:val="nil"/>
              <w:tr2bl w:val="nil"/>
            </w:tcBorders>
            <w:vAlign w:val="center"/>
          </w:tcPr>
          <w:p w14:paraId="5A909EDF"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Cs/>
                <w:snapToGrid w:val="0"/>
                <w:color w:val="auto"/>
                <w:kern w:val="0"/>
                <w:szCs w:val="21"/>
              </w:rPr>
            </w:pPr>
            <w:r>
              <w:rPr>
                <w:bCs/>
                <w:snapToGrid w:val="0"/>
                <w:kern w:val="0"/>
                <w:szCs w:val="21"/>
              </w:rPr>
              <w:t>4.84</w:t>
            </w:r>
          </w:p>
        </w:tc>
        <w:tc>
          <w:tcPr>
            <w:tcW w:w="781" w:type="pct"/>
            <w:tcBorders>
              <w:tl2br w:val="nil"/>
              <w:tr2bl w:val="nil"/>
            </w:tcBorders>
            <w:vAlign w:val="center"/>
          </w:tcPr>
          <w:p w14:paraId="792BC0A7"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Cs/>
                <w:snapToGrid w:val="0"/>
                <w:color w:val="auto"/>
                <w:kern w:val="0"/>
                <w:szCs w:val="21"/>
              </w:rPr>
            </w:pPr>
            <w:r>
              <w:rPr>
                <w:bCs/>
                <w:snapToGrid w:val="0"/>
                <w:kern w:val="0"/>
                <w:szCs w:val="21"/>
              </w:rPr>
              <w:t>4.94</w:t>
            </w:r>
          </w:p>
        </w:tc>
      </w:tr>
    </w:tbl>
    <w:p w14:paraId="4AF1024C"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大唐微电子固定资产主要为</w:t>
      </w:r>
      <w:r>
        <w:rPr>
          <w:rFonts w:ascii="Times New Roman" w:hAnsi="Times New Roman" w:cs="Times New Roman" w:hint="eastAsia"/>
          <w:sz w:val="24"/>
        </w:rPr>
        <w:t>IC</w:t>
      </w:r>
      <w:r>
        <w:rPr>
          <w:rFonts w:ascii="Times New Roman" w:hAnsi="Times New Roman" w:cs="Times New Roman" w:hint="eastAsia"/>
          <w:sz w:val="24"/>
        </w:rPr>
        <w:t>卡模块生产线，该生产线可实现芯片减划、芯片测试、模块封装、</w:t>
      </w:r>
      <w:proofErr w:type="gramStart"/>
      <w:r>
        <w:rPr>
          <w:rFonts w:ascii="Times New Roman" w:hAnsi="Times New Roman" w:cs="Times New Roman" w:hint="eastAsia"/>
          <w:sz w:val="24"/>
        </w:rPr>
        <w:t>卡级封装</w:t>
      </w:r>
      <w:proofErr w:type="gramEnd"/>
      <w:r>
        <w:rPr>
          <w:rFonts w:ascii="Times New Roman" w:hAnsi="Times New Roman" w:cs="Times New Roman" w:hint="eastAsia"/>
          <w:sz w:val="24"/>
        </w:rPr>
        <w:t>、卡片发行、包装等工艺流程。生产线所用机器设备主要包括减薄机、划片机、集成电路测试仪、焊线机、贴片机、</w:t>
      </w:r>
      <w:proofErr w:type="gramStart"/>
      <w:r>
        <w:rPr>
          <w:rFonts w:ascii="Times New Roman" w:hAnsi="Times New Roman" w:cs="Times New Roman" w:hint="eastAsia"/>
          <w:sz w:val="24"/>
        </w:rPr>
        <w:t>封胶机</w:t>
      </w:r>
      <w:proofErr w:type="gramEnd"/>
      <w:r>
        <w:rPr>
          <w:rFonts w:ascii="Times New Roman" w:hAnsi="Times New Roman" w:cs="Times New Roman" w:hint="eastAsia"/>
          <w:sz w:val="24"/>
        </w:rPr>
        <w:t>、检测机、塑封机等。</w:t>
      </w:r>
    </w:p>
    <w:p w14:paraId="1AF1ECBC"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大唐微电子处于安全芯片类产业链上游，主要负责芯片设计，就</w:t>
      </w:r>
      <w:r>
        <w:rPr>
          <w:rFonts w:ascii="Times New Roman" w:hAnsi="Times New Roman" w:cs="Times New Roman" w:hint="eastAsia"/>
          <w:sz w:val="24"/>
        </w:rPr>
        <w:t>IC</w:t>
      </w:r>
      <w:r>
        <w:rPr>
          <w:rFonts w:ascii="Times New Roman" w:hAnsi="Times New Roman" w:cs="Times New Roman" w:hint="eastAsia"/>
          <w:sz w:val="24"/>
        </w:rPr>
        <w:t>卡类产品同时也形成了芯片设计、加工制造的完整产业链，具备自主生产的能力。报告期内标的公司营业收入主要为身份证芯片、社保卡芯片等智能卡芯片的销售收入，上述产品均为自有生产线加工，故标的公司资产与主营业务完全匹配。</w:t>
      </w:r>
    </w:p>
    <w:p w14:paraId="4E13BAF1"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由于集成电路行业特性使得房屋建筑物不具备可比性，在进行同行业比较时剔除了房屋建筑物的影响，经查阅同行业上市公司年度报告等公开信息后，对比结果如下：</w:t>
      </w:r>
    </w:p>
    <w:p w14:paraId="65F796CD" w14:textId="77777777" w:rsidR="00BD3166" w:rsidRDefault="00C64679">
      <w:pPr>
        <w:ind w:firstLineChars="200" w:firstLine="420"/>
        <w:jc w:val="right"/>
        <w:rPr>
          <w:rFonts w:ascii="Times New Roman" w:hAnsi="Times New Roman" w:cs="Times New Roman"/>
        </w:rPr>
      </w:pPr>
      <w:r>
        <w:rPr>
          <w:rFonts w:ascii="Times New Roman" w:hAnsi="Times New Roman" w:cs="Times New Roman" w:hint="eastAsia"/>
        </w:rPr>
        <w:t>单位：万元</w:t>
      </w:r>
    </w:p>
    <w:tbl>
      <w:tblPr>
        <w:tblStyle w:val="ab"/>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70" w:type="dxa"/>
          <w:bottom w:w="20" w:type="dxa"/>
          <w:right w:w="70" w:type="dxa"/>
        </w:tblCellMar>
        <w:tblLook w:val="04A0" w:firstRow="1" w:lastRow="0" w:firstColumn="1" w:lastColumn="0" w:noHBand="0" w:noVBand="1"/>
      </w:tblPr>
      <w:tblGrid>
        <w:gridCol w:w="1678"/>
        <w:gridCol w:w="2853"/>
        <w:gridCol w:w="1547"/>
        <w:gridCol w:w="2368"/>
      </w:tblGrid>
      <w:tr w:rsidR="00BD3166" w14:paraId="71E45EFC" w14:textId="77777777">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cnfStyle w:val="001000000100" w:firstRow="0" w:lastRow="0" w:firstColumn="1" w:lastColumn="0" w:oddVBand="0" w:evenVBand="0" w:oddHBand="0" w:evenHBand="0" w:firstRowFirstColumn="1" w:firstRowLastColumn="0" w:lastRowFirstColumn="0" w:lastRowLastColumn="0"/>
            <w:tcW w:w="993" w:type="pct"/>
            <w:vAlign w:val="center"/>
          </w:tcPr>
          <w:p w14:paraId="66611BD9" w14:textId="77777777" w:rsidR="00BD3166" w:rsidRDefault="00C64679">
            <w:pPr>
              <w:widowControl/>
              <w:adjustRightInd w:val="0"/>
              <w:snapToGrid w:val="0"/>
              <w:jc w:val="center"/>
              <w:rPr>
                <w:b/>
                <w:snapToGrid w:val="0"/>
                <w:color w:val="auto"/>
                <w:kern w:val="0"/>
                <w:szCs w:val="18"/>
              </w:rPr>
            </w:pPr>
            <w:r>
              <w:rPr>
                <w:rFonts w:hint="eastAsia"/>
                <w:b/>
                <w:snapToGrid w:val="0"/>
                <w:kern w:val="0"/>
                <w:szCs w:val="18"/>
              </w:rPr>
              <w:lastRenderedPageBreak/>
              <w:t>公司名称</w:t>
            </w:r>
          </w:p>
        </w:tc>
        <w:tc>
          <w:tcPr>
            <w:tcW w:w="1688" w:type="pct"/>
            <w:vAlign w:val="center"/>
          </w:tcPr>
          <w:p w14:paraId="36764AD2"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2020</w:t>
            </w:r>
            <w:r>
              <w:rPr>
                <w:rFonts w:hint="eastAsia"/>
                <w:b/>
                <w:snapToGrid w:val="0"/>
                <w:kern w:val="0"/>
                <w:szCs w:val="18"/>
              </w:rPr>
              <w:t>年末固定资产净值（不含房屋建筑物）</w:t>
            </w:r>
          </w:p>
        </w:tc>
        <w:tc>
          <w:tcPr>
            <w:tcW w:w="915" w:type="pct"/>
            <w:vAlign w:val="center"/>
          </w:tcPr>
          <w:p w14:paraId="73211ED8"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2020</w:t>
            </w:r>
            <w:r>
              <w:rPr>
                <w:rFonts w:hint="eastAsia"/>
                <w:b/>
                <w:snapToGrid w:val="0"/>
                <w:kern w:val="0"/>
                <w:szCs w:val="18"/>
              </w:rPr>
              <w:t>年度营业收入</w:t>
            </w:r>
          </w:p>
        </w:tc>
        <w:tc>
          <w:tcPr>
            <w:tcW w:w="1401" w:type="pct"/>
            <w:vAlign w:val="center"/>
          </w:tcPr>
          <w:p w14:paraId="58A94C63"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8"/>
              </w:rPr>
            </w:pPr>
            <w:r>
              <w:rPr>
                <w:rFonts w:hint="eastAsia"/>
                <w:b/>
                <w:snapToGrid w:val="0"/>
                <w:kern w:val="0"/>
                <w:szCs w:val="18"/>
              </w:rPr>
              <w:t>固定资产净值占营业收入比例（</w:t>
            </w:r>
            <w:r>
              <w:rPr>
                <w:b/>
                <w:snapToGrid w:val="0"/>
                <w:kern w:val="0"/>
                <w:szCs w:val="18"/>
              </w:rPr>
              <w:t>%</w:t>
            </w:r>
            <w:r>
              <w:rPr>
                <w:rFonts w:hint="eastAsia"/>
                <w:b/>
                <w:snapToGrid w:val="0"/>
                <w:kern w:val="0"/>
                <w:szCs w:val="18"/>
              </w:rPr>
              <w:t>）</w:t>
            </w:r>
          </w:p>
        </w:tc>
      </w:tr>
      <w:tr w:rsidR="00BD3166" w14:paraId="3640F32C" w14:textId="77777777">
        <w:trPr>
          <w:cantSplit/>
          <w:trHeight w:val="454"/>
          <w:jc w:val="center"/>
        </w:trPr>
        <w:tc>
          <w:tcPr>
            <w:cnfStyle w:val="001000000000" w:firstRow="0" w:lastRow="0" w:firstColumn="1" w:lastColumn="0" w:oddVBand="0" w:evenVBand="0" w:oddHBand="0" w:evenHBand="0" w:firstRowFirstColumn="0" w:firstRowLastColumn="0" w:lastRowFirstColumn="0" w:lastRowLastColumn="0"/>
            <w:tcW w:w="993" w:type="pct"/>
            <w:vAlign w:val="center"/>
          </w:tcPr>
          <w:p w14:paraId="611CCE66" w14:textId="77777777" w:rsidR="00BD3166" w:rsidRDefault="00C64679">
            <w:pPr>
              <w:widowControl/>
              <w:adjustRightInd w:val="0"/>
              <w:snapToGrid w:val="0"/>
              <w:jc w:val="center"/>
              <w:rPr>
                <w:snapToGrid w:val="0"/>
                <w:color w:val="auto"/>
                <w:kern w:val="0"/>
                <w:szCs w:val="18"/>
              </w:rPr>
            </w:pPr>
            <w:r>
              <w:rPr>
                <w:rFonts w:hint="eastAsia"/>
                <w:snapToGrid w:val="0"/>
                <w:kern w:val="0"/>
                <w:szCs w:val="18"/>
              </w:rPr>
              <w:t>大唐微电子</w:t>
            </w:r>
          </w:p>
        </w:tc>
        <w:tc>
          <w:tcPr>
            <w:tcW w:w="1688" w:type="pct"/>
            <w:vAlign w:val="center"/>
          </w:tcPr>
          <w:p w14:paraId="29270BC7"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1,769.91</w:t>
            </w:r>
          </w:p>
        </w:tc>
        <w:tc>
          <w:tcPr>
            <w:tcW w:w="915" w:type="pct"/>
            <w:vAlign w:val="center"/>
          </w:tcPr>
          <w:p w14:paraId="59FB9A46"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35,798.49</w:t>
            </w:r>
          </w:p>
        </w:tc>
        <w:tc>
          <w:tcPr>
            <w:tcW w:w="1401" w:type="pct"/>
            <w:vAlign w:val="center"/>
          </w:tcPr>
          <w:p w14:paraId="245A4620"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4.94</w:t>
            </w:r>
          </w:p>
        </w:tc>
      </w:tr>
      <w:tr w:rsidR="00BD3166" w14:paraId="4C2A8D47" w14:textId="77777777">
        <w:trPr>
          <w:cantSplit/>
          <w:trHeight w:val="454"/>
          <w:jc w:val="center"/>
        </w:trPr>
        <w:tc>
          <w:tcPr>
            <w:cnfStyle w:val="001000000000" w:firstRow="0" w:lastRow="0" w:firstColumn="1" w:lastColumn="0" w:oddVBand="0" w:evenVBand="0" w:oddHBand="0" w:evenHBand="0" w:firstRowFirstColumn="0" w:firstRowLastColumn="0" w:lastRowFirstColumn="0" w:lastRowLastColumn="0"/>
            <w:tcW w:w="993" w:type="pct"/>
            <w:vAlign w:val="center"/>
          </w:tcPr>
          <w:p w14:paraId="74BDA5A4" w14:textId="77777777" w:rsidR="00BD3166" w:rsidRDefault="00C64679">
            <w:pPr>
              <w:widowControl/>
              <w:adjustRightInd w:val="0"/>
              <w:snapToGrid w:val="0"/>
              <w:jc w:val="center"/>
              <w:rPr>
                <w:snapToGrid w:val="0"/>
                <w:color w:val="auto"/>
                <w:kern w:val="0"/>
                <w:szCs w:val="18"/>
              </w:rPr>
            </w:pPr>
            <w:r>
              <w:rPr>
                <w:rFonts w:hint="eastAsia"/>
                <w:snapToGrid w:val="0"/>
                <w:kern w:val="0"/>
                <w:szCs w:val="18"/>
              </w:rPr>
              <w:t>全志科技（</w:t>
            </w:r>
            <w:r>
              <w:rPr>
                <w:snapToGrid w:val="0"/>
                <w:kern w:val="0"/>
                <w:szCs w:val="18"/>
              </w:rPr>
              <w:t>300485</w:t>
            </w:r>
            <w:r>
              <w:rPr>
                <w:rFonts w:hint="eastAsia"/>
                <w:snapToGrid w:val="0"/>
                <w:kern w:val="0"/>
                <w:szCs w:val="18"/>
              </w:rPr>
              <w:t>）</w:t>
            </w:r>
          </w:p>
        </w:tc>
        <w:tc>
          <w:tcPr>
            <w:tcW w:w="1688" w:type="pct"/>
            <w:vAlign w:val="center"/>
          </w:tcPr>
          <w:p w14:paraId="2A88696F"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1,009.12</w:t>
            </w:r>
          </w:p>
        </w:tc>
        <w:tc>
          <w:tcPr>
            <w:tcW w:w="915" w:type="pct"/>
            <w:vAlign w:val="center"/>
          </w:tcPr>
          <w:p w14:paraId="4E418DAE"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150,548.59</w:t>
            </w:r>
          </w:p>
        </w:tc>
        <w:tc>
          <w:tcPr>
            <w:tcW w:w="1401" w:type="pct"/>
            <w:vAlign w:val="center"/>
          </w:tcPr>
          <w:p w14:paraId="43E53B8E"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0.67</w:t>
            </w:r>
          </w:p>
        </w:tc>
      </w:tr>
      <w:tr w:rsidR="00BD3166" w14:paraId="1922BBD9" w14:textId="77777777">
        <w:trPr>
          <w:cantSplit/>
          <w:trHeight w:val="454"/>
          <w:jc w:val="center"/>
        </w:trPr>
        <w:tc>
          <w:tcPr>
            <w:cnfStyle w:val="001000000000" w:firstRow="0" w:lastRow="0" w:firstColumn="1" w:lastColumn="0" w:oddVBand="0" w:evenVBand="0" w:oddHBand="0" w:evenHBand="0" w:firstRowFirstColumn="0" w:firstRowLastColumn="0" w:lastRowFirstColumn="0" w:lastRowLastColumn="0"/>
            <w:tcW w:w="993" w:type="pct"/>
            <w:vAlign w:val="center"/>
          </w:tcPr>
          <w:p w14:paraId="177ABCB4" w14:textId="77777777" w:rsidR="00BD3166" w:rsidRDefault="00C64679">
            <w:pPr>
              <w:widowControl/>
              <w:adjustRightInd w:val="0"/>
              <w:snapToGrid w:val="0"/>
              <w:jc w:val="center"/>
              <w:rPr>
                <w:snapToGrid w:val="0"/>
                <w:color w:val="auto"/>
                <w:kern w:val="0"/>
                <w:szCs w:val="18"/>
              </w:rPr>
            </w:pPr>
            <w:proofErr w:type="gramStart"/>
            <w:r>
              <w:rPr>
                <w:rFonts w:hint="eastAsia"/>
                <w:snapToGrid w:val="0"/>
                <w:kern w:val="0"/>
                <w:szCs w:val="18"/>
              </w:rPr>
              <w:t>中颖电子</w:t>
            </w:r>
            <w:proofErr w:type="gramEnd"/>
            <w:r>
              <w:rPr>
                <w:rFonts w:hint="eastAsia"/>
                <w:snapToGrid w:val="0"/>
                <w:kern w:val="0"/>
                <w:szCs w:val="18"/>
              </w:rPr>
              <w:t>（</w:t>
            </w:r>
            <w:r>
              <w:rPr>
                <w:snapToGrid w:val="0"/>
                <w:kern w:val="0"/>
                <w:szCs w:val="18"/>
              </w:rPr>
              <w:t>300327</w:t>
            </w:r>
            <w:r>
              <w:rPr>
                <w:rFonts w:hint="eastAsia"/>
                <w:snapToGrid w:val="0"/>
                <w:kern w:val="0"/>
                <w:szCs w:val="18"/>
              </w:rPr>
              <w:t>）</w:t>
            </w:r>
          </w:p>
        </w:tc>
        <w:tc>
          <w:tcPr>
            <w:tcW w:w="1688" w:type="pct"/>
            <w:vAlign w:val="center"/>
          </w:tcPr>
          <w:p w14:paraId="5AA60C0C"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345.22</w:t>
            </w:r>
          </w:p>
        </w:tc>
        <w:tc>
          <w:tcPr>
            <w:tcW w:w="915" w:type="pct"/>
            <w:vAlign w:val="center"/>
          </w:tcPr>
          <w:p w14:paraId="2F290D37"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101,224.67</w:t>
            </w:r>
          </w:p>
        </w:tc>
        <w:tc>
          <w:tcPr>
            <w:tcW w:w="1401" w:type="pct"/>
            <w:vAlign w:val="center"/>
          </w:tcPr>
          <w:p w14:paraId="54ECBD30"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0.34</w:t>
            </w:r>
          </w:p>
        </w:tc>
      </w:tr>
      <w:tr w:rsidR="00BD3166" w14:paraId="3E7B6449" w14:textId="77777777">
        <w:trPr>
          <w:cantSplit/>
          <w:trHeight w:val="454"/>
          <w:jc w:val="center"/>
        </w:trPr>
        <w:tc>
          <w:tcPr>
            <w:cnfStyle w:val="001000000000" w:firstRow="0" w:lastRow="0" w:firstColumn="1" w:lastColumn="0" w:oddVBand="0" w:evenVBand="0" w:oddHBand="0" w:evenHBand="0" w:firstRowFirstColumn="0" w:firstRowLastColumn="0" w:lastRowFirstColumn="0" w:lastRowLastColumn="0"/>
            <w:tcW w:w="993" w:type="pct"/>
            <w:vAlign w:val="center"/>
          </w:tcPr>
          <w:p w14:paraId="648D2C67" w14:textId="77777777" w:rsidR="00BD3166" w:rsidRDefault="00C64679">
            <w:pPr>
              <w:widowControl/>
              <w:adjustRightInd w:val="0"/>
              <w:snapToGrid w:val="0"/>
              <w:jc w:val="center"/>
              <w:rPr>
                <w:snapToGrid w:val="0"/>
                <w:color w:val="auto"/>
                <w:kern w:val="0"/>
                <w:szCs w:val="18"/>
              </w:rPr>
            </w:pPr>
            <w:proofErr w:type="gramStart"/>
            <w:r>
              <w:rPr>
                <w:rFonts w:hint="eastAsia"/>
                <w:snapToGrid w:val="0"/>
                <w:kern w:val="0"/>
                <w:szCs w:val="18"/>
              </w:rPr>
              <w:t>汇顶科技</w:t>
            </w:r>
            <w:proofErr w:type="gramEnd"/>
            <w:r>
              <w:rPr>
                <w:rFonts w:hint="eastAsia"/>
                <w:snapToGrid w:val="0"/>
                <w:kern w:val="0"/>
                <w:szCs w:val="18"/>
              </w:rPr>
              <w:t>（</w:t>
            </w:r>
            <w:r>
              <w:rPr>
                <w:snapToGrid w:val="0"/>
                <w:kern w:val="0"/>
                <w:szCs w:val="18"/>
              </w:rPr>
              <w:t>603160</w:t>
            </w:r>
            <w:r>
              <w:rPr>
                <w:rFonts w:hint="eastAsia"/>
                <w:snapToGrid w:val="0"/>
                <w:kern w:val="0"/>
                <w:szCs w:val="18"/>
              </w:rPr>
              <w:t>）</w:t>
            </w:r>
          </w:p>
        </w:tc>
        <w:tc>
          <w:tcPr>
            <w:tcW w:w="1688" w:type="pct"/>
            <w:vAlign w:val="center"/>
          </w:tcPr>
          <w:p w14:paraId="16ED4A94"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10,218.27</w:t>
            </w:r>
          </w:p>
        </w:tc>
        <w:tc>
          <w:tcPr>
            <w:tcW w:w="915" w:type="pct"/>
            <w:vAlign w:val="center"/>
          </w:tcPr>
          <w:p w14:paraId="2852DD78"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655,545.72</w:t>
            </w:r>
          </w:p>
        </w:tc>
        <w:tc>
          <w:tcPr>
            <w:tcW w:w="1401" w:type="pct"/>
            <w:vAlign w:val="center"/>
          </w:tcPr>
          <w:p w14:paraId="0E0705EF"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1.56</w:t>
            </w:r>
          </w:p>
        </w:tc>
      </w:tr>
      <w:tr w:rsidR="00BD3166" w14:paraId="5F68BE94" w14:textId="77777777">
        <w:trPr>
          <w:cantSplit/>
          <w:trHeight w:val="454"/>
          <w:jc w:val="center"/>
        </w:trPr>
        <w:tc>
          <w:tcPr>
            <w:cnfStyle w:val="001000000000" w:firstRow="0" w:lastRow="0" w:firstColumn="1" w:lastColumn="0" w:oddVBand="0" w:evenVBand="0" w:oddHBand="0" w:evenHBand="0" w:firstRowFirstColumn="0" w:firstRowLastColumn="0" w:lastRowFirstColumn="0" w:lastRowLastColumn="0"/>
            <w:tcW w:w="993" w:type="pct"/>
            <w:vAlign w:val="center"/>
          </w:tcPr>
          <w:p w14:paraId="1EC322C8" w14:textId="77777777" w:rsidR="00BD3166" w:rsidRDefault="00C64679">
            <w:pPr>
              <w:widowControl/>
              <w:adjustRightInd w:val="0"/>
              <w:snapToGrid w:val="0"/>
              <w:jc w:val="center"/>
              <w:rPr>
                <w:b/>
                <w:bCs/>
                <w:snapToGrid w:val="0"/>
                <w:color w:val="auto"/>
                <w:kern w:val="0"/>
                <w:szCs w:val="18"/>
              </w:rPr>
            </w:pPr>
            <w:r>
              <w:rPr>
                <w:rFonts w:hint="eastAsia"/>
                <w:b/>
                <w:bCs/>
                <w:snapToGrid w:val="0"/>
                <w:kern w:val="0"/>
                <w:szCs w:val="18"/>
              </w:rPr>
              <w:t>平均值</w:t>
            </w:r>
          </w:p>
        </w:tc>
        <w:tc>
          <w:tcPr>
            <w:tcW w:w="1688" w:type="pct"/>
            <w:vAlign w:val="center"/>
          </w:tcPr>
          <w:p w14:paraId="3F1A1977"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napToGrid w:val="0"/>
                <w:color w:val="auto"/>
                <w:kern w:val="0"/>
                <w:szCs w:val="18"/>
              </w:rPr>
            </w:pPr>
            <w:r>
              <w:rPr>
                <w:b/>
                <w:bCs/>
                <w:snapToGrid w:val="0"/>
                <w:kern w:val="0"/>
                <w:szCs w:val="18"/>
              </w:rPr>
              <w:t>3,335.63</w:t>
            </w:r>
          </w:p>
        </w:tc>
        <w:tc>
          <w:tcPr>
            <w:tcW w:w="915" w:type="pct"/>
            <w:vAlign w:val="center"/>
          </w:tcPr>
          <w:p w14:paraId="674FB6A8"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napToGrid w:val="0"/>
                <w:color w:val="auto"/>
                <w:kern w:val="0"/>
                <w:szCs w:val="18"/>
              </w:rPr>
            </w:pPr>
            <w:r>
              <w:rPr>
                <w:b/>
                <w:bCs/>
                <w:snapToGrid w:val="0"/>
                <w:kern w:val="0"/>
                <w:szCs w:val="18"/>
              </w:rPr>
              <w:t>230,697.51</w:t>
            </w:r>
          </w:p>
        </w:tc>
        <w:tc>
          <w:tcPr>
            <w:tcW w:w="1401" w:type="pct"/>
            <w:vAlign w:val="center"/>
          </w:tcPr>
          <w:p w14:paraId="781F2F5B"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1.46</w:t>
            </w:r>
          </w:p>
        </w:tc>
      </w:tr>
    </w:tbl>
    <w:p w14:paraId="50640BCE"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由上表可见，大唐微电子固定资产投入产出比高于行业平均水平，主要系大唐微电子</w:t>
      </w:r>
      <w:r>
        <w:rPr>
          <w:rFonts w:ascii="Times New Roman" w:hAnsi="Times New Roman" w:cs="Times New Roman" w:hint="eastAsia"/>
          <w:sz w:val="24"/>
        </w:rPr>
        <w:t>IC</w:t>
      </w:r>
      <w:r>
        <w:rPr>
          <w:rFonts w:ascii="Times New Roman" w:hAnsi="Times New Roman" w:cs="Times New Roman" w:hint="eastAsia"/>
          <w:sz w:val="24"/>
        </w:rPr>
        <w:t>卡模块生产线资产利用率较高，大唐微电子的固定资产投入产出比例符合公司的整体发展规划及现状。</w:t>
      </w:r>
    </w:p>
    <w:p w14:paraId="2925C816" w14:textId="77777777" w:rsidR="00BD3166" w:rsidRDefault="00C64679">
      <w:pPr>
        <w:spacing w:line="360" w:lineRule="auto"/>
        <w:ind w:firstLineChars="200" w:firstLine="480"/>
      </w:pPr>
      <w:r>
        <w:rPr>
          <w:rFonts w:ascii="Times New Roman" w:hAnsi="Times New Roman" w:cs="Times New Roman" w:hint="eastAsia"/>
          <w:sz w:val="24"/>
        </w:rPr>
        <w:t>大唐微电子固定资产折旧政策以及折旧费用的计提与同行业可比公司不存在显著差异。大唐微电子固定资产主要为专用设备，包括生产线所用机器设备等，以机器设备为例，与其他上市公司具体对比情况如下：</w:t>
      </w:r>
    </w:p>
    <w:tbl>
      <w:tblPr>
        <w:tblStyle w:val="ab"/>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70" w:type="dxa"/>
          <w:bottom w:w="20" w:type="dxa"/>
          <w:right w:w="70" w:type="dxa"/>
        </w:tblCellMar>
        <w:tblLook w:val="04A0" w:firstRow="1" w:lastRow="0" w:firstColumn="1" w:lastColumn="0" w:noHBand="0" w:noVBand="1"/>
      </w:tblPr>
      <w:tblGrid>
        <w:gridCol w:w="2127"/>
        <w:gridCol w:w="1245"/>
        <w:gridCol w:w="1690"/>
        <w:gridCol w:w="1471"/>
        <w:gridCol w:w="1910"/>
      </w:tblGrid>
      <w:tr w:rsidR="00BD3166" w14:paraId="6965A9B5" w14:textId="77777777">
        <w:trPr>
          <w:cnfStyle w:val="100000000000" w:firstRow="1" w:lastRow="0" w:firstColumn="0" w:lastColumn="0" w:oddVBand="0" w:evenVBand="0" w:oddHBand="0" w:evenHBand="0" w:firstRowFirstColumn="0" w:firstRowLastColumn="0" w:lastRowFirstColumn="0" w:lastRowLastColumn="0"/>
          <w:cantSplit/>
          <w:trHeight w:val="454"/>
        </w:trPr>
        <w:tc>
          <w:tcPr>
            <w:cnfStyle w:val="001000000100" w:firstRow="0" w:lastRow="0" w:firstColumn="1" w:lastColumn="0" w:oddVBand="0" w:evenVBand="0" w:oddHBand="0" w:evenHBand="0" w:firstRowFirstColumn="1" w:firstRowLastColumn="0" w:lastRowFirstColumn="0" w:lastRowLastColumn="0"/>
            <w:tcW w:w="1258" w:type="pct"/>
            <w:vAlign w:val="center"/>
          </w:tcPr>
          <w:p w14:paraId="2979BD33" w14:textId="77777777" w:rsidR="00BD3166" w:rsidRDefault="00C64679">
            <w:pPr>
              <w:widowControl/>
              <w:adjustRightInd w:val="0"/>
              <w:snapToGrid w:val="0"/>
              <w:jc w:val="center"/>
              <w:rPr>
                <w:b/>
                <w:snapToGrid w:val="0"/>
                <w:color w:val="auto"/>
                <w:kern w:val="0"/>
                <w:szCs w:val="18"/>
              </w:rPr>
            </w:pPr>
            <w:r>
              <w:rPr>
                <w:rFonts w:hint="eastAsia"/>
                <w:b/>
                <w:snapToGrid w:val="0"/>
                <w:kern w:val="0"/>
                <w:szCs w:val="18"/>
              </w:rPr>
              <w:t>公司名称</w:t>
            </w:r>
          </w:p>
        </w:tc>
        <w:tc>
          <w:tcPr>
            <w:tcW w:w="737" w:type="pct"/>
            <w:vAlign w:val="center"/>
          </w:tcPr>
          <w:p w14:paraId="3E5C12C3"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8"/>
              </w:rPr>
            </w:pPr>
            <w:r>
              <w:rPr>
                <w:rFonts w:hint="eastAsia"/>
                <w:b/>
                <w:snapToGrid w:val="0"/>
                <w:kern w:val="0"/>
                <w:szCs w:val="18"/>
              </w:rPr>
              <w:t>折旧方法</w:t>
            </w:r>
          </w:p>
        </w:tc>
        <w:tc>
          <w:tcPr>
            <w:tcW w:w="1001" w:type="pct"/>
            <w:vAlign w:val="center"/>
          </w:tcPr>
          <w:p w14:paraId="6D489662"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8"/>
              </w:rPr>
            </w:pPr>
            <w:r>
              <w:rPr>
                <w:rFonts w:hint="eastAsia"/>
                <w:b/>
                <w:snapToGrid w:val="0"/>
                <w:kern w:val="0"/>
                <w:szCs w:val="18"/>
              </w:rPr>
              <w:t>折旧年限（年）</w:t>
            </w:r>
          </w:p>
        </w:tc>
        <w:tc>
          <w:tcPr>
            <w:tcW w:w="871" w:type="pct"/>
            <w:vAlign w:val="center"/>
          </w:tcPr>
          <w:p w14:paraId="14BE1BC0"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8"/>
              </w:rPr>
            </w:pPr>
            <w:r>
              <w:rPr>
                <w:rFonts w:hint="eastAsia"/>
                <w:b/>
                <w:snapToGrid w:val="0"/>
                <w:kern w:val="0"/>
                <w:szCs w:val="18"/>
              </w:rPr>
              <w:t>残值率（</w:t>
            </w:r>
            <w:r>
              <w:rPr>
                <w:b/>
                <w:snapToGrid w:val="0"/>
                <w:kern w:val="0"/>
                <w:szCs w:val="18"/>
              </w:rPr>
              <w:t>%</w:t>
            </w:r>
            <w:r>
              <w:rPr>
                <w:rFonts w:hint="eastAsia"/>
                <w:b/>
                <w:snapToGrid w:val="0"/>
                <w:kern w:val="0"/>
                <w:szCs w:val="18"/>
              </w:rPr>
              <w:t>）</w:t>
            </w:r>
          </w:p>
        </w:tc>
        <w:tc>
          <w:tcPr>
            <w:tcW w:w="1131" w:type="pct"/>
            <w:vAlign w:val="center"/>
          </w:tcPr>
          <w:p w14:paraId="5C3B48D3"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8"/>
              </w:rPr>
            </w:pPr>
            <w:r>
              <w:rPr>
                <w:rFonts w:hint="eastAsia"/>
                <w:b/>
                <w:snapToGrid w:val="0"/>
                <w:kern w:val="0"/>
                <w:szCs w:val="18"/>
              </w:rPr>
              <w:t>累计折旧率（</w:t>
            </w:r>
            <w:r>
              <w:rPr>
                <w:b/>
                <w:snapToGrid w:val="0"/>
                <w:kern w:val="0"/>
                <w:szCs w:val="18"/>
              </w:rPr>
              <w:t>%</w:t>
            </w:r>
            <w:r>
              <w:rPr>
                <w:rFonts w:hint="eastAsia"/>
                <w:b/>
                <w:snapToGrid w:val="0"/>
                <w:kern w:val="0"/>
                <w:szCs w:val="18"/>
              </w:rPr>
              <w:t>）</w:t>
            </w:r>
          </w:p>
        </w:tc>
      </w:tr>
      <w:tr w:rsidR="00BD3166" w14:paraId="7594678C"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1258" w:type="pct"/>
            <w:vAlign w:val="center"/>
          </w:tcPr>
          <w:p w14:paraId="7C2C6389" w14:textId="77777777" w:rsidR="00BD3166" w:rsidRDefault="00C64679">
            <w:pPr>
              <w:widowControl/>
              <w:adjustRightInd w:val="0"/>
              <w:snapToGrid w:val="0"/>
              <w:jc w:val="center"/>
              <w:rPr>
                <w:snapToGrid w:val="0"/>
                <w:color w:val="auto"/>
                <w:kern w:val="0"/>
                <w:szCs w:val="18"/>
              </w:rPr>
            </w:pPr>
            <w:r>
              <w:rPr>
                <w:rFonts w:hint="eastAsia"/>
                <w:snapToGrid w:val="0"/>
                <w:kern w:val="0"/>
                <w:szCs w:val="18"/>
              </w:rPr>
              <w:t>大唐微电子</w:t>
            </w:r>
          </w:p>
        </w:tc>
        <w:tc>
          <w:tcPr>
            <w:tcW w:w="737" w:type="pct"/>
            <w:vAlign w:val="center"/>
          </w:tcPr>
          <w:p w14:paraId="4DF3765B"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年限平均法</w:t>
            </w:r>
          </w:p>
        </w:tc>
        <w:tc>
          <w:tcPr>
            <w:tcW w:w="1001" w:type="pct"/>
            <w:vAlign w:val="center"/>
          </w:tcPr>
          <w:p w14:paraId="10105701"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5-10</w:t>
            </w:r>
          </w:p>
        </w:tc>
        <w:tc>
          <w:tcPr>
            <w:tcW w:w="871" w:type="pct"/>
            <w:vAlign w:val="center"/>
          </w:tcPr>
          <w:p w14:paraId="5DE681F3"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4</w:t>
            </w:r>
          </w:p>
        </w:tc>
        <w:tc>
          <w:tcPr>
            <w:tcW w:w="1131" w:type="pct"/>
            <w:vAlign w:val="center"/>
          </w:tcPr>
          <w:p w14:paraId="6F143725"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89.52</w:t>
            </w:r>
          </w:p>
        </w:tc>
      </w:tr>
      <w:tr w:rsidR="00BD3166" w14:paraId="447095A1"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1258" w:type="pct"/>
            <w:vAlign w:val="center"/>
          </w:tcPr>
          <w:p w14:paraId="59554F48" w14:textId="77777777" w:rsidR="00BD3166" w:rsidRDefault="00C64679">
            <w:pPr>
              <w:widowControl/>
              <w:adjustRightInd w:val="0"/>
              <w:snapToGrid w:val="0"/>
              <w:jc w:val="center"/>
              <w:rPr>
                <w:snapToGrid w:val="0"/>
                <w:color w:val="auto"/>
                <w:kern w:val="0"/>
                <w:szCs w:val="18"/>
              </w:rPr>
            </w:pPr>
            <w:r>
              <w:rPr>
                <w:rFonts w:hint="eastAsia"/>
                <w:snapToGrid w:val="0"/>
                <w:kern w:val="0"/>
                <w:szCs w:val="18"/>
              </w:rPr>
              <w:t>全志科技（</w:t>
            </w:r>
            <w:r>
              <w:rPr>
                <w:snapToGrid w:val="0"/>
                <w:kern w:val="0"/>
                <w:szCs w:val="18"/>
              </w:rPr>
              <w:t>300485</w:t>
            </w:r>
            <w:r>
              <w:rPr>
                <w:rFonts w:hint="eastAsia"/>
                <w:snapToGrid w:val="0"/>
                <w:kern w:val="0"/>
                <w:szCs w:val="18"/>
              </w:rPr>
              <w:t>）</w:t>
            </w:r>
          </w:p>
        </w:tc>
        <w:tc>
          <w:tcPr>
            <w:tcW w:w="737" w:type="pct"/>
            <w:vAlign w:val="center"/>
          </w:tcPr>
          <w:p w14:paraId="38CF6CE0"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年限平均法</w:t>
            </w:r>
          </w:p>
        </w:tc>
        <w:tc>
          <w:tcPr>
            <w:tcW w:w="1001" w:type="pct"/>
            <w:vAlign w:val="center"/>
          </w:tcPr>
          <w:p w14:paraId="0890A08D"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3-5</w:t>
            </w:r>
          </w:p>
        </w:tc>
        <w:tc>
          <w:tcPr>
            <w:tcW w:w="871" w:type="pct"/>
            <w:vAlign w:val="center"/>
          </w:tcPr>
          <w:p w14:paraId="2F6BE62A"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5</w:t>
            </w:r>
          </w:p>
        </w:tc>
        <w:tc>
          <w:tcPr>
            <w:tcW w:w="1131" w:type="pct"/>
            <w:vAlign w:val="center"/>
          </w:tcPr>
          <w:p w14:paraId="5969A1CA"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88.81</w:t>
            </w:r>
          </w:p>
        </w:tc>
      </w:tr>
      <w:tr w:rsidR="00BD3166" w14:paraId="203E6C18"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1258" w:type="pct"/>
            <w:vAlign w:val="center"/>
          </w:tcPr>
          <w:p w14:paraId="2E2913C3" w14:textId="77777777" w:rsidR="00BD3166" w:rsidRDefault="00C64679">
            <w:pPr>
              <w:widowControl/>
              <w:adjustRightInd w:val="0"/>
              <w:snapToGrid w:val="0"/>
              <w:jc w:val="center"/>
              <w:rPr>
                <w:snapToGrid w:val="0"/>
                <w:color w:val="auto"/>
                <w:kern w:val="0"/>
                <w:szCs w:val="18"/>
              </w:rPr>
            </w:pPr>
            <w:proofErr w:type="gramStart"/>
            <w:r>
              <w:rPr>
                <w:rFonts w:hint="eastAsia"/>
                <w:snapToGrid w:val="0"/>
                <w:kern w:val="0"/>
                <w:szCs w:val="18"/>
              </w:rPr>
              <w:t>中颖电子</w:t>
            </w:r>
            <w:proofErr w:type="gramEnd"/>
            <w:r>
              <w:rPr>
                <w:rFonts w:hint="eastAsia"/>
                <w:snapToGrid w:val="0"/>
                <w:kern w:val="0"/>
                <w:szCs w:val="18"/>
              </w:rPr>
              <w:t>（</w:t>
            </w:r>
            <w:r>
              <w:rPr>
                <w:snapToGrid w:val="0"/>
                <w:kern w:val="0"/>
                <w:szCs w:val="18"/>
              </w:rPr>
              <w:t>300327</w:t>
            </w:r>
            <w:r>
              <w:rPr>
                <w:rFonts w:hint="eastAsia"/>
                <w:snapToGrid w:val="0"/>
                <w:kern w:val="0"/>
                <w:szCs w:val="18"/>
              </w:rPr>
              <w:t>）</w:t>
            </w:r>
          </w:p>
        </w:tc>
        <w:tc>
          <w:tcPr>
            <w:tcW w:w="737" w:type="pct"/>
            <w:vAlign w:val="center"/>
          </w:tcPr>
          <w:p w14:paraId="78E7E43F"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年限平均法</w:t>
            </w:r>
          </w:p>
        </w:tc>
        <w:tc>
          <w:tcPr>
            <w:tcW w:w="1001" w:type="pct"/>
            <w:vAlign w:val="center"/>
          </w:tcPr>
          <w:p w14:paraId="732C3EDE"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3-10</w:t>
            </w:r>
          </w:p>
        </w:tc>
        <w:tc>
          <w:tcPr>
            <w:tcW w:w="871" w:type="pct"/>
            <w:vAlign w:val="center"/>
          </w:tcPr>
          <w:p w14:paraId="0374BFC4"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0-10</w:t>
            </w:r>
          </w:p>
        </w:tc>
        <w:tc>
          <w:tcPr>
            <w:tcW w:w="1131" w:type="pct"/>
            <w:vAlign w:val="center"/>
          </w:tcPr>
          <w:p w14:paraId="30ED7215"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76.35</w:t>
            </w:r>
          </w:p>
        </w:tc>
      </w:tr>
      <w:tr w:rsidR="00BD3166" w14:paraId="46CB1A5F"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1258" w:type="pct"/>
            <w:vAlign w:val="center"/>
          </w:tcPr>
          <w:p w14:paraId="15C58DBE" w14:textId="77777777" w:rsidR="00BD3166" w:rsidRDefault="00C64679">
            <w:pPr>
              <w:widowControl/>
              <w:adjustRightInd w:val="0"/>
              <w:snapToGrid w:val="0"/>
              <w:jc w:val="center"/>
              <w:rPr>
                <w:snapToGrid w:val="0"/>
                <w:color w:val="auto"/>
                <w:kern w:val="0"/>
                <w:szCs w:val="18"/>
              </w:rPr>
            </w:pPr>
            <w:proofErr w:type="gramStart"/>
            <w:r>
              <w:rPr>
                <w:rFonts w:hint="eastAsia"/>
                <w:snapToGrid w:val="0"/>
                <w:kern w:val="0"/>
                <w:szCs w:val="18"/>
              </w:rPr>
              <w:t>汇顶科技</w:t>
            </w:r>
            <w:proofErr w:type="gramEnd"/>
            <w:r>
              <w:rPr>
                <w:rFonts w:hint="eastAsia"/>
                <w:snapToGrid w:val="0"/>
                <w:kern w:val="0"/>
                <w:szCs w:val="18"/>
              </w:rPr>
              <w:t>（</w:t>
            </w:r>
            <w:r>
              <w:rPr>
                <w:snapToGrid w:val="0"/>
                <w:kern w:val="0"/>
                <w:szCs w:val="18"/>
              </w:rPr>
              <w:t>603160</w:t>
            </w:r>
            <w:r>
              <w:rPr>
                <w:rFonts w:hint="eastAsia"/>
                <w:snapToGrid w:val="0"/>
                <w:kern w:val="0"/>
                <w:szCs w:val="18"/>
              </w:rPr>
              <w:t>）</w:t>
            </w:r>
          </w:p>
        </w:tc>
        <w:tc>
          <w:tcPr>
            <w:tcW w:w="737" w:type="pct"/>
            <w:vAlign w:val="center"/>
          </w:tcPr>
          <w:p w14:paraId="56DB6E44"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年限平均法</w:t>
            </w:r>
          </w:p>
        </w:tc>
        <w:tc>
          <w:tcPr>
            <w:tcW w:w="1001" w:type="pct"/>
            <w:vAlign w:val="center"/>
          </w:tcPr>
          <w:p w14:paraId="3B22020B"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3-5</w:t>
            </w:r>
          </w:p>
        </w:tc>
        <w:tc>
          <w:tcPr>
            <w:tcW w:w="871" w:type="pct"/>
            <w:vAlign w:val="center"/>
          </w:tcPr>
          <w:p w14:paraId="22B52395"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5</w:t>
            </w:r>
          </w:p>
        </w:tc>
        <w:tc>
          <w:tcPr>
            <w:tcW w:w="1131" w:type="pct"/>
            <w:vAlign w:val="center"/>
          </w:tcPr>
          <w:p w14:paraId="1A22DED4"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45.22</w:t>
            </w:r>
          </w:p>
        </w:tc>
      </w:tr>
      <w:tr w:rsidR="00BD3166" w14:paraId="7308BA75"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1258" w:type="pct"/>
            <w:vAlign w:val="center"/>
          </w:tcPr>
          <w:p w14:paraId="78BF808E" w14:textId="77777777" w:rsidR="00BD3166" w:rsidRDefault="00C64679">
            <w:pPr>
              <w:widowControl/>
              <w:adjustRightInd w:val="0"/>
              <w:snapToGrid w:val="0"/>
              <w:jc w:val="center"/>
              <w:rPr>
                <w:b/>
                <w:bCs/>
                <w:snapToGrid w:val="0"/>
                <w:color w:val="auto"/>
                <w:kern w:val="0"/>
                <w:szCs w:val="18"/>
              </w:rPr>
            </w:pPr>
            <w:r>
              <w:rPr>
                <w:rFonts w:hint="eastAsia"/>
                <w:b/>
                <w:bCs/>
                <w:snapToGrid w:val="0"/>
                <w:kern w:val="0"/>
                <w:szCs w:val="18"/>
              </w:rPr>
              <w:t>平均值</w:t>
            </w:r>
          </w:p>
        </w:tc>
        <w:tc>
          <w:tcPr>
            <w:tcW w:w="737" w:type="pct"/>
            <w:vAlign w:val="center"/>
          </w:tcPr>
          <w:p w14:paraId="65B3C3D1" w14:textId="77777777" w:rsidR="00BD3166" w:rsidRDefault="00BD3166">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napToGrid w:val="0"/>
                <w:color w:val="auto"/>
                <w:kern w:val="0"/>
                <w:szCs w:val="18"/>
              </w:rPr>
            </w:pPr>
          </w:p>
        </w:tc>
        <w:tc>
          <w:tcPr>
            <w:tcW w:w="1001" w:type="pct"/>
            <w:vAlign w:val="center"/>
          </w:tcPr>
          <w:p w14:paraId="3C6C090F" w14:textId="77777777" w:rsidR="00BD3166" w:rsidRDefault="00BD3166">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p>
        </w:tc>
        <w:tc>
          <w:tcPr>
            <w:tcW w:w="871" w:type="pct"/>
            <w:vAlign w:val="center"/>
          </w:tcPr>
          <w:p w14:paraId="17A46004" w14:textId="77777777" w:rsidR="00BD3166" w:rsidRDefault="00BD3166">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p>
        </w:tc>
        <w:tc>
          <w:tcPr>
            <w:tcW w:w="1131" w:type="pct"/>
            <w:vAlign w:val="center"/>
          </w:tcPr>
          <w:p w14:paraId="18042B95"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74.98</w:t>
            </w:r>
          </w:p>
        </w:tc>
      </w:tr>
    </w:tbl>
    <w:p w14:paraId="30E617B6"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与同行业上市公司相比，大唐微电子机器设备折旧年限处于合理水平，累计折旧率率略高于行业平均水平，主要系标的公司自</w:t>
      </w:r>
      <w:r>
        <w:rPr>
          <w:rFonts w:ascii="Times New Roman" w:hAnsi="Times New Roman" w:cs="Times New Roman" w:hint="eastAsia"/>
          <w:sz w:val="24"/>
        </w:rPr>
        <w:t>2005</w:t>
      </w:r>
      <w:r>
        <w:rPr>
          <w:rFonts w:ascii="Times New Roman" w:hAnsi="Times New Roman" w:cs="Times New Roman" w:hint="eastAsia"/>
          <w:sz w:val="24"/>
        </w:rPr>
        <w:t>年前后组建生产线，主要设备如减薄机、协议分析仪、检测机等设备购置较早，故累计折旧率较高，但设备日常保养情况良好，目前用于正常生产经营。</w:t>
      </w:r>
    </w:p>
    <w:p w14:paraId="062868AD"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（二）后期标的公司利用前述设备开展经营活动是否存在相关障碍，是否需要新增大额投入</w:t>
      </w:r>
    </w:p>
    <w:p w14:paraId="57447A3B"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大唐微电子目前在</w:t>
      </w:r>
      <w:r>
        <w:rPr>
          <w:rFonts w:ascii="Times New Roman" w:hAnsi="Times New Roman" w:cs="Times New Roman" w:hint="eastAsia"/>
          <w:sz w:val="24"/>
        </w:rPr>
        <w:t>IC</w:t>
      </w:r>
      <w:r>
        <w:rPr>
          <w:rFonts w:ascii="Times New Roman" w:hAnsi="Times New Roman" w:cs="Times New Roman" w:hint="eastAsia"/>
          <w:sz w:val="24"/>
        </w:rPr>
        <w:t>卡模块生产方面技术成熟且设备齐全，针对现有日常</w:t>
      </w:r>
      <w:r>
        <w:rPr>
          <w:rFonts w:ascii="Times New Roman" w:hAnsi="Times New Roman" w:cs="Times New Roman" w:hint="eastAsia"/>
          <w:sz w:val="24"/>
        </w:rPr>
        <w:lastRenderedPageBreak/>
        <w:t>经营业务，标的公司目前的机器设备可以满足日常经营活动要求，不存在相关障碍。若公司后续进一步拓展业务规模，将视情况考虑是否对固定资产新增大额投入。</w:t>
      </w:r>
    </w:p>
    <w:p w14:paraId="79120AEA"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四、标的公司研发投入的具体内容及项目进展、费用化及资本</w:t>
      </w:r>
      <w:proofErr w:type="gramStart"/>
      <w:r>
        <w:rPr>
          <w:rFonts w:ascii="Times New Roman" w:eastAsia="宋体" w:hAnsi="Times New Roman" w:cs="Times New Roman" w:hint="eastAsia"/>
          <w:b/>
          <w:bCs/>
          <w:color w:val="000000"/>
          <w:sz w:val="24"/>
          <w:szCs w:val="24"/>
        </w:rPr>
        <w:t>化金额</w:t>
      </w:r>
      <w:proofErr w:type="gramEnd"/>
      <w:r>
        <w:rPr>
          <w:rFonts w:ascii="Times New Roman" w:eastAsia="宋体" w:hAnsi="Times New Roman" w:cs="Times New Roman" w:hint="eastAsia"/>
          <w:b/>
          <w:bCs/>
          <w:color w:val="000000"/>
          <w:sz w:val="24"/>
          <w:szCs w:val="24"/>
        </w:rPr>
        <w:t>与占比、研发人员人数及受教育程度，是否与同行业可比公司相一致，是否存在明显的技术优势，是否可能面临现有产品或技术被替代的风险，并结合标的公司业务开拓情况，说明研发投入占比提升的原因及合理性</w:t>
      </w:r>
    </w:p>
    <w:p w14:paraId="443998E9"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（一）标的公司研发投入的具体内容及项目进展、费用化及资本</w:t>
      </w:r>
      <w:proofErr w:type="gramStart"/>
      <w:r>
        <w:rPr>
          <w:rFonts w:ascii="Times New Roman" w:eastAsia="宋体" w:hAnsi="Times New Roman" w:cs="Times New Roman" w:hint="eastAsia"/>
          <w:b/>
          <w:bCs/>
          <w:color w:val="000000"/>
          <w:sz w:val="24"/>
          <w:szCs w:val="24"/>
        </w:rPr>
        <w:t>化金额</w:t>
      </w:r>
      <w:proofErr w:type="gramEnd"/>
      <w:r>
        <w:rPr>
          <w:rFonts w:ascii="Times New Roman" w:eastAsia="宋体" w:hAnsi="Times New Roman" w:cs="Times New Roman" w:hint="eastAsia"/>
          <w:b/>
          <w:bCs/>
          <w:color w:val="000000"/>
          <w:sz w:val="24"/>
          <w:szCs w:val="24"/>
        </w:rPr>
        <w:t>与占比、研发人员人数及受教育程度，是否与同行业可比公司相一致</w:t>
      </w:r>
    </w:p>
    <w:p w14:paraId="70ABFDAE"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w:t>
      </w:r>
      <w:r>
        <w:rPr>
          <w:rFonts w:ascii="Times New Roman" w:hAnsi="Times New Roman" w:cs="Times New Roman" w:hint="eastAsia"/>
          <w:sz w:val="24"/>
        </w:rPr>
        <w:t>2020</w:t>
      </w:r>
      <w:r>
        <w:rPr>
          <w:rFonts w:ascii="Times New Roman" w:hAnsi="Times New Roman" w:cs="Times New Roman" w:hint="eastAsia"/>
          <w:sz w:val="24"/>
        </w:rPr>
        <w:t>年研发投入主要在安全芯片方向，重点项目包括“高性能终端安全芯片”、“新一代智能卡安全芯片”、“超低功耗物联网安全芯片”等，项目进展如下：</w:t>
      </w:r>
    </w:p>
    <w:p w14:paraId="112FF0A7"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）高性能终端安全芯片：已完成样片功能验证，已</w:t>
      </w:r>
      <w:proofErr w:type="gramStart"/>
      <w:r>
        <w:rPr>
          <w:rFonts w:ascii="Times New Roman" w:hAnsi="Times New Roman" w:cs="Times New Roman" w:hint="eastAsia"/>
          <w:sz w:val="24"/>
        </w:rPr>
        <w:t>通过银检终端</w:t>
      </w:r>
      <w:proofErr w:type="gramEnd"/>
      <w:r>
        <w:rPr>
          <w:rFonts w:ascii="Times New Roman" w:hAnsi="Times New Roman" w:cs="Times New Roman" w:hint="eastAsia"/>
          <w:sz w:val="24"/>
        </w:rPr>
        <w:t>芯片安全测试并获取报告。</w:t>
      </w:r>
    </w:p>
    <w:p w14:paraId="772FF4A1"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）新一代智能卡安全芯片：已完成样片功能验证，已通过银联芯片安全认证和国密认证。</w:t>
      </w:r>
    </w:p>
    <w:p w14:paraId="05C8CD03"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）超低功耗物联网安全芯片：已完成样品流片、样品试制及样片验证。</w:t>
      </w:r>
    </w:p>
    <w:p w14:paraId="036D9DC5"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报告期内，大唐微电子研发投入费用化及资本</w:t>
      </w:r>
      <w:proofErr w:type="gramStart"/>
      <w:r>
        <w:rPr>
          <w:rFonts w:ascii="Times New Roman" w:hAnsi="Times New Roman" w:cs="Times New Roman" w:hint="eastAsia"/>
          <w:sz w:val="24"/>
        </w:rPr>
        <w:t>化金额</w:t>
      </w:r>
      <w:proofErr w:type="gramEnd"/>
      <w:r>
        <w:rPr>
          <w:rFonts w:ascii="Times New Roman" w:hAnsi="Times New Roman" w:cs="Times New Roman" w:hint="eastAsia"/>
          <w:sz w:val="24"/>
        </w:rPr>
        <w:t>与占营业收入比例情况如下：</w:t>
      </w:r>
    </w:p>
    <w:p w14:paraId="1F4A5274" w14:textId="77777777" w:rsidR="00BD3166" w:rsidRDefault="00C64679">
      <w:pPr>
        <w:jc w:val="right"/>
        <w:rPr>
          <w:rFonts w:ascii="Times New Roman" w:hAnsi="Times New Roman" w:cs="Times New Roman"/>
          <w:sz w:val="24"/>
        </w:rPr>
      </w:pPr>
      <w:r>
        <w:rPr>
          <w:rFonts w:ascii="Times New Roman" w:hAnsi="Times New Roman" w:cs="Times New Roman" w:hint="eastAsia"/>
        </w:rPr>
        <w:t>单位：万元</w:t>
      </w:r>
    </w:p>
    <w:tbl>
      <w:tblPr>
        <w:tblStyle w:val="ab"/>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1418"/>
        <w:gridCol w:w="1416"/>
        <w:gridCol w:w="2035"/>
      </w:tblGrid>
      <w:tr w:rsidR="00BD3166" w14:paraId="7D49A5CE" w14:textId="77777777">
        <w:trPr>
          <w:cnfStyle w:val="100000000000" w:firstRow="1" w:lastRow="0" w:firstColumn="0" w:lastColumn="0" w:oddVBand="0" w:evenVBand="0" w:oddHBand="0" w:evenHBand="0" w:firstRowFirstColumn="0" w:firstRowLastColumn="0" w:lastRowFirstColumn="0" w:lastRowLastColumn="0"/>
          <w:trHeight w:val="397"/>
          <w:tblHeader/>
          <w:jc w:val="center"/>
        </w:trPr>
        <w:tc>
          <w:tcPr>
            <w:cnfStyle w:val="001000000100" w:firstRow="0" w:lastRow="0" w:firstColumn="1" w:lastColumn="0" w:oddVBand="0" w:evenVBand="0" w:oddHBand="0" w:evenHBand="0" w:firstRowFirstColumn="1" w:firstRowLastColumn="0" w:lastRowFirstColumn="0" w:lastRowLastColumn="0"/>
            <w:tcW w:w="2143" w:type="pct"/>
            <w:vAlign w:val="center"/>
          </w:tcPr>
          <w:p w14:paraId="0149F55A" w14:textId="77777777" w:rsidR="00BD3166" w:rsidRDefault="00C64679">
            <w:pPr>
              <w:widowControl/>
              <w:jc w:val="center"/>
              <w:rPr>
                <w:b/>
                <w:kern w:val="0"/>
                <w:szCs w:val="18"/>
              </w:rPr>
            </w:pPr>
            <w:r>
              <w:rPr>
                <w:b/>
                <w:kern w:val="0"/>
                <w:szCs w:val="18"/>
              </w:rPr>
              <w:t>项目</w:t>
            </w:r>
          </w:p>
        </w:tc>
        <w:tc>
          <w:tcPr>
            <w:tcW w:w="832" w:type="pct"/>
            <w:vAlign w:val="center"/>
          </w:tcPr>
          <w:p w14:paraId="0D561C92" w14:textId="77777777" w:rsidR="00BD3166" w:rsidRDefault="00C64679">
            <w:pPr>
              <w:widowControl/>
              <w:jc w:val="center"/>
              <w:cnfStyle w:val="100000000000" w:firstRow="1" w:lastRow="0" w:firstColumn="0" w:lastColumn="0" w:oddVBand="0" w:evenVBand="0" w:oddHBand="0" w:evenHBand="0" w:firstRowFirstColumn="0" w:firstRowLastColumn="0" w:lastRowFirstColumn="0" w:lastRowLastColumn="0"/>
              <w:rPr>
                <w:b/>
                <w:kern w:val="0"/>
                <w:szCs w:val="18"/>
              </w:rPr>
            </w:pPr>
            <w:r>
              <w:rPr>
                <w:rFonts w:hint="eastAsia"/>
                <w:b/>
                <w:kern w:val="0"/>
                <w:szCs w:val="18"/>
              </w:rPr>
              <w:t>2020</w:t>
            </w:r>
            <w:r>
              <w:rPr>
                <w:rFonts w:hint="eastAsia"/>
                <w:b/>
                <w:kern w:val="0"/>
                <w:szCs w:val="18"/>
              </w:rPr>
              <w:t>年度</w:t>
            </w:r>
          </w:p>
        </w:tc>
        <w:tc>
          <w:tcPr>
            <w:tcW w:w="831" w:type="pct"/>
            <w:vAlign w:val="center"/>
          </w:tcPr>
          <w:p w14:paraId="3B92BA39" w14:textId="77777777" w:rsidR="00BD3166" w:rsidRDefault="00C64679">
            <w:pPr>
              <w:widowControl/>
              <w:jc w:val="center"/>
              <w:cnfStyle w:val="100000000000" w:firstRow="1" w:lastRow="0" w:firstColumn="0" w:lastColumn="0" w:oddVBand="0" w:evenVBand="0" w:oddHBand="0" w:evenHBand="0" w:firstRowFirstColumn="0" w:firstRowLastColumn="0" w:lastRowFirstColumn="0" w:lastRowLastColumn="0"/>
              <w:rPr>
                <w:b/>
                <w:kern w:val="0"/>
                <w:szCs w:val="18"/>
              </w:rPr>
            </w:pPr>
            <w:r>
              <w:rPr>
                <w:rFonts w:hint="eastAsia"/>
                <w:b/>
                <w:kern w:val="0"/>
                <w:szCs w:val="18"/>
              </w:rPr>
              <w:t>2019</w:t>
            </w:r>
            <w:r>
              <w:rPr>
                <w:rFonts w:hint="eastAsia"/>
                <w:b/>
                <w:kern w:val="0"/>
                <w:szCs w:val="18"/>
              </w:rPr>
              <w:t>年度</w:t>
            </w:r>
          </w:p>
        </w:tc>
        <w:tc>
          <w:tcPr>
            <w:tcW w:w="1194" w:type="pct"/>
            <w:vAlign w:val="center"/>
          </w:tcPr>
          <w:p w14:paraId="06FEEFFE" w14:textId="77777777" w:rsidR="00BD3166" w:rsidRDefault="00C64679">
            <w:pPr>
              <w:widowControl/>
              <w:jc w:val="center"/>
              <w:cnfStyle w:val="100000000000" w:firstRow="1" w:lastRow="0" w:firstColumn="0" w:lastColumn="0" w:oddVBand="0" w:evenVBand="0" w:oddHBand="0" w:evenHBand="0" w:firstRowFirstColumn="0" w:firstRowLastColumn="0" w:lastRowFirstColumn="0" w:lastRowLastColumn="0"/>
              <w:rPr>
                <w:b/>
                <w:kern w:val="0"/>
                <w:szCs w:val="18"/>
              </w:rPr>
            </w:pPr>
            <w:r>
              <w:rPr>
                <w:rFonts w:hint="eastAsia"/>
                <w:b/>
                <w:kern w:val="0"/>
                <w:szCs w:val="18"/>
              </w:rPr>
              <w:t>变动比例</w:t>
            </w:r>
          </w:p>
        </w:tc>
      </w:tr>
      <w:tr w:rsidR="00BD3166" w14:paraId="77485D26"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2143" w:type="pct"/>
            <w:vAlign w:val="center"/>
          </w:tcPr>
          <w:p w14:paraId="0D6ADB6E" w14:textId="77777777" w:rsidR="00BD3166" w:rsidRDefault="00C64679">
            <w:pPr>
              <w:widowControl/>
              <w:jc w:val="left"/>
              <w:rPr>
                <w:kern w:val="0"/>
                <w:szCs w:val="18"/>
              </w:rPr>
            </w:pPr>
            <w:r>
              <w:rPr>
                <w:rFonts w:hint="eastAsia"/>
                <w:kern w:val="0"/>
                <w:szCs w:val="18"/>
              </w:rPr>
              <w:t>研发投入金额</w:t>
            </w:r>
          </w:p>
        </w:tc>
        <w:tc>
          <w:tcPr>
            <w:tcW w:w="832" w:type="pct"/>
            <w:vAlign w:val="center"/>
          </w:tcPr>
          <w:p w14:paraId="5770CDB9"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rFonts w:hint="eastAsia"/>
                <w:kern w:val="0"/>
                <w:szCs w:val="18"/>
              </w:rPr>
              <w:t>6,944</w:t>
            </w:r>
          </w:p>
        </w:tc>
        <w:tc>
          <w:tcPr>
            <w:tcW w:w="831" w:type="pct"/>
            <w:vAlign w:val="center"/>
          </w:tcPr>
          <w:p w14:paraId="1D9105FB"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5,827</w:t>
            </w:r>
          </w:p>
        </w:tc>
        <w:tc>
          <w:tcPr>
            <w:tcW w:w="1194" w:type="pct"/>
            <w:vAlign w:val="center"/>
          </w:tcPr>
          <w:p w14:paraId="5F9F2481"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19.2%</w:t>
            </w:r>
          </w:p>
        </w:tc>
      </w:tr>
      <w:tr w:rsidR="00BD3166" w14:paraId="3EE477D2"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2143" w:type="pct"/>
            <w:vAlign w:val="center"/>
          </w:tcPr>
          <w:p w14:paraId="2E2A7769" w14:textId="77777777" w:rsidR="00BD3166" w:rsidRDefault="00C64679">
            <w:pPr>
              <w:widowControl/>
              <w:jc w:val="left"/>
              <w:rPr>
                <w:kern w:val="0"/>
                <w:szCs w:val="18"/>
              </w:rPr>
            </w:pPr>
            <w:r>
              <w:rPr>
                <w:rFonts w:hint="eastAsia"/>
                <w:kern w:val="0"/>
                <w:szCs w:val="18"/>
              </w:rPr>
              <w:t>研发投入资本</w:t>
            </w:r>
            <w:proofErr w:type="gramStart"/>
            <w:r>
              <w:rPr>
                <w:rFonts w:hint="eastAsia"/>
                <w:kern w:val="0"/>
                <w:szCs w:val="18"/>
              </w:rPr>
              <w:t>化金额</w:t>
            </w:r>
            <w:proofErr w:type="gramEnd"/>
          </w:p>
        </w:tc>
        <w:tc>
          <w:tcPr>
            <w:tcW w:w="832" w:type="pct"/>
            <w:vAlign w:val="center"/>
          </w:tcPr>
          <w:p w14:paraId="2E33D3AF"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rFonts w:hint="eastAsia"/>
                <w:kern w:val="0"/>
                <w:szCs w:val="18"/>
              </w:rPr>
              <w:t>828</w:t>
            </w:r>
          </w:p>
        </w:tc>
        <w:tc>
          <w:tcPr>
            <w:tcW w:w="831" w:type="pct"/>
            <w:vAlign w:val="center"/>
          </w:tcPr>
          <w:p w14:paraId="154CA091"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rFonts w:hint="eastAsia"/>
                <w:kern w:val="0"/>
                <w:szCs w:val="18"/>
              </w:rPr>
              <w:t>956</w:t>
            </w:r>
          </w:p>
        </w:tc>
        <w:tc>
          <w:tcPr>
            <w:tcW w:w="1194" w:type="pct"/>
            <w:vAlign w:val="center"/>
          </w:tcPr>
          <w:p w14:paraId="37B892CC"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rFonts w:hint="eastAsia"/>
                <w:kern w:val="0"/>
                <w:szCs w:val="18"/>
              </w:rPr>
              <w:t>-13.4%</w:t>
            </w:r>
          </w:p>
        </w:tc>
      </w:tr>
      <w:tr w:rsidR="00BD3166" w14:paraId="4DA223A1"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2143" w:type="pct"/>
            <w:vAlign w:val="center"/>
          </w:tcPr>
          <w:p w14:paraId="5DD599B7" w14:textId="77777777" w:rsidR="00BD3166" w:rsidRDefault="00C64679">
            <w:pPr>
              <w:widowControl/>
              <w:jc w:val="left"/>
              <w:rPr>
                <w:kern w:val="0"/>
                <w:szCs w:val="18"/>
              </w:rPr>
            </w:pPr>
            <w:r>
              <w:rPr>
                <w:rFonts w:hint="eastAsia"/>
                <w:kern w:val="0"/>
                <w:szCs w:val="18"/>
              </w:rPr>
              <w:t>资本化研发投入占研发投入的比例</w:t>
            </w:r>
          </w:p>
        </w:tc>
        <w:tc>
          <w:tcPr>
            <w:tcW w:w="832" w:type="pct"/>
            <w:vAlign w:val="center"/>
          </w:tcPr>
          <w:p w14:paraId="6676E6EE"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rFonts w:hint="eastAsia"/>
                <w:kern w:val="0"/>
                <w:szCs w:val="18"/>
              </w:rPr>
              <w:t>11.9%</w:t>
            </w:r>
          </w:p>
        </w:tc>
        <w:tc>
          <w:tcPr>
            <w:tcW w:w="831" w:type="pct"/>
            <w:vAlign w:val="center"/>
          </w:tcPr>
          <w:p w14:paraId="7A86366A"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16.4%</w:t>
            </w:r>
          </w:p>
        </w:tc>
        <w:tc>
          <w:tcPr>
            <w:tcW w:w="1194" w:type="pct"/>
            <w:vAlign w:val="center"/>
          </w:tcPr>
          <w:p w14:paraId="09E26750"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rFonts w:hint="eastAsia"/>
                <w:kern w:val="0"/>
                <w:szCs w:val="18"/>
              </w:rPr>
              <w:t>下降</w:t>
            </w:r>
            <w:r>
              <w:rPr>
                <w:kern w:val="0"/>
                <w:szCs w:val="18"/>
              </w:rPr>
              <w:t>4.5</w:t>
            </w:r>
            <w:r>
              <w:rPr>
                <w:kern w:val="0"/>
                <w:szCs w:val="18"/>
              </w:rPr>
              <w:t>个百分点</w:t>
            </w:r>
          </w:p>
        </w:tc>
      </w:tr>
      <w:tr w:rsidR="00BD3166" w14:paraId="159905A9"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2143" w:type="pct"/>
            <w:vAlign w:val="center"/>
          </w:tcPr>
          <w:p w14:paraId="603DC0D6" w14:textId="77777777" w:rsidR="00BD3166" w:rsidRDefault="00C64679">
            <w:pPr>
              <w:widowControl/>
              <w:jc w:val="left"/>
              <w:rPr>
                <w:kern w:val="0"/>
                <w:szCs w:val="18"/>
              </w:rPr>
            </w:pPr>
            <w:r>
              <w:rPr>
                <w:rFonts w:hint="eastAsia"/>
                <w:kern w:val="0"/>
                <w:szCs w:val="18"/>
              </w:rPr>
              <w:t>研发费用占营业收入比例</w:t>
            </w:r>
          </w:p>
        </w:tc>
        <w:tc>
          <w:tcPr>
            <w:tcW w:w="832" w:type="pct"/>
            <w:vAlign w:val="center"/>
          </w:tcPr>
          <w:p w14:paraId="3C1BBA6B" w14:textId="6C0581D0"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17.9%</w:t>
            </w:r>
          </w:p>
        </w:tc>
        <w:tc>
          <w:tcPr>
            <w:tcW w:w="831" w:type="pct"/>
            <w:vAlign w:val="center"/>
          </w:tcPr>
          <w:p w14:paraId="0ECB6B33" w14:textId="2A51FB6E"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13.3%</w:t>
            </w:r>
          </w:p>
        </w:tc>
        <w:tc>
          <w:tcPr>
            <w:tcW w:w="1194" w:type="pct"/>
            <w:vAlign w:val="center"/>
          </w:tcPr>
          <w:p w14:paraId="2CDC2C37" w14:textId="26276FF9"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18"/>
              </w:rPr>
            </w:pPr>
            <w:r>
              <w:rPr>
                <w:kern w:val="0"/>
                <w:szCs w:val="18"/>
              </w:rPr>
              <w:t>增加</w:t>
            </w:r>
            <w:r>
              <w:rPr>
                <w:kern w:val="0"/>
                <w:szCs w:val="18"/>
              </w:rPr>
              <w:t>4.9</w:t>
            </w:r>
            <w:r>
              <w:rPr>
                <w:kern w:val="0"/>
                <w:szCs w:val="18"/>
              </w:rPr>
              <w:t>个百分点</w:t>
            </w:r>
          </w:p>
        </w:tc>
      </w:tr>
    </w:tbl>
    <w:p w14:paraId="2A7AE968" w14:textId="53E9F67D"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2020</w:t>
      </w:r>
      <w:r>
        <w:rPr>
          <w:rFonts w:ascii="Times New Roman" w:hAnsi="Times New Roman" w:cs="Times New Roman" w:hint="eastAsia"/>
          <w:sz w:val="24"/>
        </w:rPr>
        <w:t>年度，大唐微电子研发投入</w:t>
      </w:r>
      <w:r>
        <w:rPr>
          <w:rFonts w:ascii="Times New Roman" w:hAnsi="Times New Roman" w:cs="Times New Roman" w:hint="eastAsia"/>
          <w:sz w:val="24"/>
        </w:rPr>
        <w:t>6,944</w:t>
      </w:r>
      <w:r>
        <w:rPr>
          <w:rFonts w:ascii="Times New Roman" w:hAnsi="Times New Roman" w:cs="Times New Roman" w:hint="eastAsia"/>
          <w:sz w:val="24"/>
        </w:rPr>
        <w:t>万元，研发费用占营业收入比重</w:t>
      </w:r>
      <w:r w:rsidR="005E705E">
        <w:rPr>
          <w:rFonts w:ascii="Times New Roman" w:hAnsi="Times New Roman" w:cs="Times New Roman" w:hint="eastAsia"/>
          <w:sz w:val="24"/>
        </w:rPr>
        <w:t>1</w:t>
      </w:r>
      <w:r w:rsidR="005E705E">
        <w:rPr>
          <w:rFonts w:ascii="Times New Roman" w:hAnsi="Times New Roman" w:cs="Times New Roman"/>
          <w:sz w:val="24"/>
        </w:rPr>
        <w:t>7</w:t>
      </w:r>
      <w:r>
        <w:rPr>
          <w:rFonts w:ascii="Times New Roman" w:hAnsi="Times New Roman" w:cs="Times New Roman"/>
          <w:sz w:val="24"/>
        </w:rPr>
        <w:t>.</w:t>
      </w:r>
      <w:r w:rsidR="005E705E">
        <w:rPr>
          <w:rFonts w:ascii="Times New Roman" w:hAnsi="Times New Roman" w:cs="Times New Roman"/>
          <w:sz w:val="24"/>
        </w:rPr>
        <w:t>9</w:t>
      </w:r>
      <w:r>
        <w:rPr>
          <w:rFonts w:ascii="Times New Roman" w:hAnsi="Times New Roman" w:cs="Times New Roman" w:hint="eastAsia"/>
          <w:sz w:val="24"/>
        </w:rPr>
        <w:t>%</w:t>
      </w:r>
      <w:r>
        <w:rPr>
          <w:rFonts w:ascii="Times New Roman" w:hAnsi="Times New Roman" w:cs="Times New Roman" w:hint="eastAsia"/>
          <w:sz w:val="24"/>
        </w:rPr>
        <w:t>，资本化研发投入占研发投入的比例</w:t>
      </w:r>
      <w:r>
        <w:rPr>
          <w:rFonts w:ascii="Times New Roman" w:hAnsi="Times New Roman" w:cs="Times New Roman" w:hint="eastAsia"/>
          <w:sz w:val="24"/>
        </w:rPr>
        <w:t>11.9%</w:t>
      </w:r>
      <w:r>
        <w:rPr>
          <w:rFonts w:ascii="Times New Roman" w:hAnsi="Times New Roman" w:cs="Times New Roman" w:hint="eastAsia"/>
          <w:sz w:val="24"/>
        </w:rPr>
        <w:t>。同行业可比公司研发</w:t>
      </w:r>
      <w:proofErr w:type="gramStart"/>
      <w:r>
        <w:rPr>
          <w:rFonts w:ascii="Times New Roman" w:hAnsi="Times New Roman" w:cs="Times New Roman" w:hint="eastAsia"/>
          <w:sz w:val="24"/>
        </w:rPr>
        <w:t>费用占营收</w:t>
      </w:r>
      <w:proofErr w:type="gramEnd"/>
      <w:r>
        <w:rPr>
          <w:rFonts w:ascii="Times New Roman" w:hAnsi="Times New Roman" w:cs="Times New Roman" w:hint="eastAsia"/>
          <w:sz w:val="24"/>
        </w:rPr>
        <w:t>比例分布范围较宽，研发费用占营业收入比例介于</w:t>
      </w:r>
      <w:r>
        <w:rPr>
          <w:rFonts w:ascii="Times New Roman" w:hAnsi="Times New Roman" w:cs="Times New Roman" w:hint="eastAsia"/>
          <w:sz w:val="24"/>
        </w:rPr>
        <w:t>10%-35%</w:t>
      </w:r>
      <w:r>
        <w:rPr>
          <w:rFonts w:ascii="Times New Roman" w:hAnsi="Times New Roman" w:cs="Times New Roman" w:hint="eastAsia"/>
          <w:sz w:val="24"/>
        </w:rPr>
        <w:t>之间，大唐微电子研发费用</w:t>
      </w:r>
      <w:r>
        <w:rPr>
          <w:rFonts w:ascii="Times New Roman" w:hAnsi="Times New Roman" w:cs="Times New Roman" w:hint="eastAsia"/>
          <w:sz w:val="24"/>
        </w:rPr>
        <w:t>1</w:t>
      </w:r>
      <w:r w:rsidR="005E705E">
        <w:rPr>
          <w:rFonts w:ascii="Times New Roman" w:hAnsi="Times New Roman" w:cs="Times New Roman"/>
          <w:sz w:val="24"/>
        </w:rPr>
        <w:t>7</w:t>
      </w:r>
      <w:r>
        <w:rPr>
          <w:rFonts w:ascii="Times New Roman" w:hAnsi="Times New Roman" w:cs="Times New Roman"/>
          <w:sz w:val="24"/>
        </w:rPr>
        <w:t>.</w:t>
      </w:r>
      <w:r w:rsidR="005E705E">
        <w:rPr>
          <w:rFonts w:ascii="Times New Roman" w:hAnsi="Times New Roman" w:cs="Times New Roman"/>
          <w:sz w:val="24"/>
        </w:rPr>
        <w:t>9</w:t>
      </w:r>
      <w:r>
        <w:rPr>
          <w:rFonts w:ascii="Times New Roman" w:hAnsi="Times New Roman" w:cs="Times New Roman" w:hint="eastAsia"/>
          <w:sz w:val="24"/>
        </w:rPr>
        <w:t>%</w:t>
      </w:r>
      <w:r>
        <w:rPr>
          <w:rFonts w:ascii="Times New Roman" w:hAnsi="Times New Roman" w:cs="Times New Roman" w:hint="eastAsia"/>
          <w:sz w:val="24"/>
        </w:rPr>
        <w:t>处于行业中值附近。考虑到市场法评估时选用的全志科技（</w:t>
      </w:r>
      <w:r>
        <w:rPr>
          <w:rFonts w:ascii="Times New Roman" w:hAnsi="Times New Roman" w:cs="Times New Roman" w:hint="eastAsia"/>
          <w:sz w:val="24"/>
        </w:rPr>
        <w:t>300485</w:t>
      </w:r>
      <w:r>
        <w:rPr>
          <w:rFonts w:ascii="Times New Roman" w:hAnsi="Times New Roman" w:cs="Times New Roman" w:hint="eastAsia"/>
          <w:sz w:val="24"/>
        </w:rPr>
        <w:t>）、</w:t>
      </w:r>
      <w:proofErr w:type="gramStart"/>
      <w:r>
        <w:rPr>
          <w:rFonts w:ascii="Times New Roman" w:hAnsi="Times New Roman" w:cs="Times New Roman" w:hint="eastAsia"/>
          <w:sz w:val="24"/>
        </w:rPr>
        <w:lastRenderedPageBreak/>
        <w:t>中颖电子</w:t>
      </w:r>
      <w:proofErr w:type="gramEnd"/>
      <w:r>
        <w:rPr>
          <w:rFonts w:ascii="Times New Roman" w:hAnsi="Times New Roman" w:cs="Times New Roman" w:hint="eastAsia"/>
          <w:sz w:val="24"/>
        </w:rPr>
        <w:t>（</w:t>
      </w:r>
      <w:r>
        <w:rPr>
          <w:rFonts w:ascii="Times New Roman" w:hAnsi="Times New Roman" w:cs="Times New Roman" w:hint="eastAsia"/>
          <w:sz w:val="24"/>
        </w:rPr>
        <w:t>300327</w:t>
      </w:r>
      <w:r>
        <w:rPr>
          <w:rFonts w:ascii="Times New Roman" w:hAnsi="Times New Roman" w:cs="Times New Roman" w:hint="eastAsia"/>
          <w:sz w:val="24"/>
        </w:rPr>
        <w:t>）两家可比公司报告期内不存在资本化研发投入，为便于比较，将业务与标的公司较为相近的竞争对手紫光国微、国民技术两家公司纳入比较，同行业研发投入费用化及资本</w:t>
      </w:r>
      <w:proofErr w:type="gramStart"/>
      <w:r>
        <w:rPr>
          <w:rFonts w:ascii="Times New Roman" w:hAnsi="Times New Roman" w:cs="Times New Roman" w:hint="eastAsia"/>
          <w:sz w:val="24"/>
        </w:rPr>
        <w:t>化金额</w:t>
      </w:r>
      <w:proofErr w:type="gramEnd"/>
      <w:r>
        <w:rPr>
          <w:rFonts w:ascii="Times New Roman" w:hAnsi="Times New Roman" w:cs="Times New Roman" w:hint="eastAsia"/>
          <w:sz w:val="24"/>
        </w:rPr>
        <w:t>占比情况具体如下：</w:t>
      </w:r>
    </w:p>
    <w:tbl>
      <w:tblPr>
        <w:tblStyle w:val="a8"/>
        <w:tblW w:w="5000" w:type="pct"/>
        <w:tblLook w:val="04A0" w:firstRow="1" w:lastRow="0" w:firstColumn="1" w:lastColumn="0" w:noHBand="0" w:noVBand="1"/>
      </w:tblPr>
      <w:tblGrid>
        <w:gridCol w:w="1502"/>
        <w:gridCol w:w="1505"/>
        <w:gridCol w:w="1505"/>
        <w:gridCol w:w="2006"/>
        <w:gridCol w:w="2004"/>
      </w:tblGrid>
      <w:tr w:rsidR="00BD3166" w14:paraId="1DDE211B" w14:textId="77777777">
        <w:tc>
          <w:tcPr>
            <w:tcW w:w="881" w:type="pct"/>
            <w:vMerge w:val="restart"/>
            <w:vAlign w:val="center"/>
          </w:tcPr>
          <w:p w14:paraId="4858F96C" w14:textId="77777777" w:rsidR="00BD3166" w:rsidRDefault="00C64679">
            <w:pPr>
              <w:jc w:val="center"/>
              <w:rPr>
                <w:rFonts w:ascii="Times New Roman" w:hAnsi="Times New Roman" w:cs="Times New Roman"/>
                <w:b/>
                <w:color w:val="000000"/>
                <w:kern w:val="0"/>
                <w:szCs w:val="24"/>
              </w:rPr>
            </w:pPr>
            <w:r>
              <w:rPr>
                <w:rFonts w:ascii="Times New Roman" w:hAnsi="Times New Roman" w:cs="Times New Roman"/>
                <w:b/>
                <w:color w:val="000000"/>
                <w:kern w:val="0"/>
                <w:szCs w:val="24"/>
              </w:rPr>
              <w:t>项目</w:t>
            </w:r>
          </w:p>
        </w:tc>
        <w:tc>
          <w:tcPr>
            <w:tcW w:w="1766" w:type="pct"/>
            <w:gridSpan w:val="2"/>
            <w:vAlign w:val="center"/>
          </w:tcPr>
          <w:p w14:paraId="18657862" w14:textId="77777777" w:rsidR="00BD3166" w:rsidRDefault="00C64679">
            <w:pPr>
              <w:jc w:val="center"/>
              <w:rPr>
                <w:rFonts w:ascii="Times New Roman" w:hAnsi="Times New Roman" w:cs="Times New Roman"/>
                <w:b/>
                <w:color w:val="000000"/>
                <w:kern w:val="0"/>
                <w:szCs w:val="24"/>
              </w:rPr>
            </w:pPr>
            <w:r>
              <w:rPr>
                <w:rFonts w:ascii="Times New Roman" w:hAnsi="Times New Roman" w:cs="Times New Roman"/>
                <w:b/>
                <w:color w:val="000000"/>
                <w:kern w:val="0"/>
                <w:szCs w:val="24"/>
              </w:rPr>
              <w:t>研发费用占营业收入比例</w:t>
            </w:r>
          </w:p>
        </w:tc>
        <w:tc>
          <w:tcPr>
            <w:tcW w:w="2353" w:type="pct"/>
            <w:gridSpan w:val="2"/>
            <w:vAlign w:val="center"/>
          </w:tcPr>
          <w:p w14:paraId="07C7FA68" w14:textId="77777777" w:rsidR="00BD3166" w:rsidRDefault="00C64679">
            <w:pPr>
              <w:jc w:val="center"/>
              <w:rPr>
                <w:rFonts w:ascii="Times New Roman" w:hAnsi="Times New Roman" w:cs="Times New Roman"/>
                <w:b/>
                <w:color w:val="000000"/>
                <w:kern w:val="0"/>
                <w:szCs w:val="24"/>
              </w:rPr>
            </w:pPr>
            <w:r>
              <w:rPr>
                <w:rFonts w:ascii="Times New Roman" w:hAnsi="Times New Roman" w:cs="Times New Roman"/>
                <w:b/>
                <w:color w:val="000000"/>
                <w:kern w:val="0"/>
                <w:szCs w:val="24"/>
              </w:rPr>
              <w:t>资本化研发投入占研发投入的比例</w:t>
            </w:r>
          </w:p>
        </w:tc>
      </w:tr>
      <w:tr w:rsidR="00BD3166" w14:paraId="3FD8A355" w14:textId="77777777">
        <w:tc>
          <w:tcPr>
            <w:tcW w:w="881" w:type="pct"/>
            <w:vMerge/>
            <w:vAlign w:val="center"/>
          </w:tcPr>
          <w:p w14:paraId="6DA8BA8F" w14:textId="77777777" w:rsidR="00BD3166" w:rsidRDefault="00BD3166">
            <w:pPr>
              <w:jc w:val="center"/>
              <w:rPr>
                <w:rFonts w:ascii="Times New Roman" w:hAnsi="Times New Roman" w:cs="Times New Roman"/>
                <w:b/>
                <w:color w:val="000000"/>
                <w:kern w:val="0"/>
                <w:szCs w:val="24"/>
              </w:rPr>
            </w:pPr>
          </w:p>
        </w:tc>
        <w:tc>
          <w:tcPr>
            <w:tcW w:w="883" w:type="pct"/>
            <w:vAlign w:val="center"/>
          </w:tcPr>
          <w:p w14:paraId="7D09F12A" w14:textId="77777777" w:rsidR="00BD3166" w:rsidRDefault="00C64679">
            <w:pPr>
              <w:jc w:val="center"/>
              <w:rPr>
                <w:rFonts w:ascii="Times New Roman" w:hAnsi="Times New Roman" w:cs="Times New Roman"/>
                <w:b/>
                <w:color w:val="000000"/>
                <w:kern w:val="0"/>
                <w:szCs w:val="24"/>
              </w:rPr>
            </w:pPr>
            <w:r>
              <w:rPr>
                <w:rFonts w:ascii="Times New Roman" w:hAnsi="Times New Roman" w:cs="Times New Roman"/>
                <w:b/>
                <w:color w:val="000000"/>
                <w:kern w:val="0"/>
                <w:szCs w:val="24"/>
              </w:rPr>
              <w:t>2020</w:t>
            </w:r>
            <w:r>
              <w:rPr>
                <w:rFonts w:ascii="Times New Roman" w:hAnsi="Times New Roman" w:cs="Times New Roman"/>
                <w:b/>
                <w:color w:val="000000"/>
                <w:kern w:val="0"/>
                <w:szCs w:val="24"/>
              </w:rPr>
              <w:t>年</w:t>
            </w:r>
          </w:p>
        </w:tc>
        <w:tc>
          <w:tcPr>
            <w:tcW w:w="883" w:type="pct"/>
            <w:vAlign w:val="center"/>
          </w:tcPr>
          <w:p w14:paraId="0175C3C9" w14:textId="77777777" w:rsidR="00BD3166" w:rsidRDefault="00C64679">
            <w:pPr>
              <w:jc w:val="center"/>
              <w:rPr>
                <w:rFonts w:ascii="Times New Roman" w:hAnsi="Times New Roman" w:cs="Times New Roman"/>
                <w:b/>
                <w:color w:val="000000"/>
                <w:kern w:val="0"/>
                <w:szCs w:val="24"/>
              </w:rPr>
            </w:pPr>
            <w:r>
              <w:rPr>
                <w:rFonts w:ascii="Times New Roman" w:hAnsi="Times New Roman" w:cs="Times New Roman"/>
                <w:b/>
                <w:color w:val="000000"/>
                <w:kern w:val="0"/>
                <w:szCs w:val="24"/>
              </w:rPr>
              <w:t>2019</w:t>
            </w:r>
            <w:r>
              <w:rPr>
                <w:rFonts w:ascii="Times New Roman" w:hAnsi="Times New Roman" w:cs="Times New Roman"/>
                <w:b/>
                <w:color w:val="000000"/>
                <w:kern w:val="0"/>
                <w:szCs w:val="24"/>
              </w:rPr>
              <w:t>年</w:t>
            </w:r>
          </w:p>
        </w:tc>
        <w:tc>
          <w:tcPr>
            <w:tcW w:w="1177" w:type="pct"/>
            <w:vAlign w:val="center"/>
          </w:tcPr>
          <w:p w14:paraId="1DE49C4F" w14:textId="77777777" w:rsidR="00BD3166" w:rsidRDefault="00C64679">
            <w:pPr>
              <w:jc w:val="center"/>
              <w:rPr>
                <w:rFonts w:ascii="Times New Roman" w:hAnsi="Times New Roman" w:cs="Times New Roman"/>
                <w:b/>
                <w:color w:val="000000"/>
                <w:kern w:val="0"/>
                <w:szCs w:val="24"/>
              </w:rPr>
            </w:pPr>
            <w:r>
              <w:rPr>
                <w:rFonts w:ascii="Times New Roman" w:hAnsi="Times New Roman" w:cs="Times New Roman"/>
                <w:b/>
                <w:color w:val="000000"/>
                <w:kern w:val="0"/>
                <w:szCs w:val="24"/>
              </w:rPr>
              <w:t>2020</w:t>
            </w:r>
            <w:r>
              <w:rPr>
                <w:rFonts w:ascii="Times New Roman" w:hAnsi="Times New Roman" w:cs="Times New Roman"/>
                <w:b/>
                <w:color w:val="000000"/>
                <w:kern w:val="0"/>
                <w:szCs w:val="24"/>
              </w:rPr>
              <w:t>年</w:t>
            </w:r>
          </w:p>
        </w:tc>
        <w:tc>
          <w:tcPr>
            <w:tcW w:w="1177" w:type="pct"/>
            <w:vAlign w:val="center"/>
          </w:tcPr>
          <w:p w14:paraId="664D5592" w14:textId="77777777" w:rsidR="00BD3166" w:rsidRDefault="00C64679">
            <w:pPr>
              <w:jc w:val="center"/>
              <w:rPr>
                <w:rFonts w:ascii="Times New Roman" w:hAnsi="Times New Roman" w:cs="Times New Roman"/>
                <w:b/>
                <w:color w:val="000000"/>
                <w:kern w:val="0"/>
                <w:szCs w:val="24"/>
              </w:rPr>
            </w:pPr>
            <w:r>
              <w:rPr>
                <w:rFonts w:ascii="Times New Roman" w:hAnsi="Times New Roman" w:cs="Times New Roman"/>
                <w:b/>
                <w:color w:val="000000"/>
                <w:kern w:val="0"/>
                <w:szCs w:val="24"/>
              </w:rPr>
              <w:t>2019</w:t>
            </w:r>
            <w:r>
              <w:rPr>
                <w:rFonts w:ascii="Times New Roman" w:hAnsi="Times New Roman" w:cs="Times New Roman"/>
                <w:b/>
                <w:color w:val="000000"/>
                <w:kern w:val="0"/>
                <w:szCs w:val="24"/>
              </w:rPr>
              <w:t>年</w:t>
            </w:r>
          </w:p>
        </w:tc>
      </w:tr>
      <w:tr w:rsidR="00BD3166" w14:paraId="1ADC9C23" w14:textId="77777777">
        <w:tc>
          <w:tcPr>
            <w:tcW w:w="881" w:type="pct"/>
          </w:tcPr>
          <w:p w14:paraId="74FEDB94"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大唐微电子</w:t>
            </w:r>
          </w:p>
        </w:tc>
        <w:tc>
          <w:tcPr>
            <w:tcW w:w="883" w:type="pct"/>
            <w:vAlign w:val="bottom"/>
          </w:tcPr>
          <w:p w14:paraId="703AA596"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17.9%</w:t>
            </w:r>
          </w:p>
        </w:tc>
        <w:tc>
          <w:tcPr>
            <w:tcW w:w="883" w:type="pct"/>
            <w:vAlign w:val="bottom"/>
          </w:tcPr>
          <w:p w14:paraId="14EF7031"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13.3%</w:t>
            </w:r>
          </w:p>
        </w:tc>
        <w:tc>
          <w:tcPr>
            <w:tcW w:w="1177" w:type="pct"/>
            <w:vAlign w:val="bottom"/>
          </w:tcPr>
          <w:p w14:paraId="40AFD5A7"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11.9%</w:t>
            </w:r>
          </w:p>
        </w:tc>
        <w:tc>
          <w:tcPr>
            <w:tcW w:w="1177" w:type="pct"/>
            <w:vAlign w:val="bottom"/>
          </w:tcPr>
          <w:p w14:paraId="34A436F1" w14:textId="51A205C1"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16.4%</w:t>
            </w:r>
          </w:p>
        </w:tc>
      </w:tr>
      <w:tr w:rsidR="00BD3166" w14:paraId="738B40B1" w14:textId="77777777">
        <w:tc>
          <w:tcPr>
            <w:tcW w:w="881" w:type="pct"/>
          </w:tcPr>
          <w:p w14:paraId="1C5EA35D" w14:textId="77777777" w:rsidR="00BD3166" w:rsidRDefault="00C64679">
            <w:pPr>
              <w:jc w:val="center"/>
              <w:rPr>
                <w:rFonts w:ascii="Times New Roman" w:hAnsi="Times New Roman" w:cs="Times New Roman"/>
                <w:color w:val="000000"/>
                <w:kern w:val="0"/>
                <w:szCs w:val="24"/>
              </w:rPr>
            </w:pPr>
            <w:proofErr w:type="gramStart"/>
            <w:r>
              <w:rPr>
                <w:rFonts w:ascii="Times New Roman" w:hAnsi="Times New Roman" w:cs="Times New Roman"/>
                <w:color w:val="000000"/>
                <w:kern w:val="0"/>
                <w:szCs w:val="24"/>
              </w:rPr>
              <w:t>紫光国微</w:t>
            </w:r>
            <w:proofErr w:type="gramEnd"/>
          </w:p>
        </w:tc>
        <w:tc>
          <w:tcPr>
            <w:tcW w:w="883" w:type="pct"/>
            <w:vAlign w:val="bottom"/>
          </w:tcPr>
          <w:p w14:paraId="75ADE68C"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10.6%</w:t>
            </w:r>
          </w:p>
        </w:tc>
        <w:tc>
          <w:tcPr>
            <w:tcW w:w="883" w:type="pct"/>
            <w:vAlign w:val="bottom"/>
          </w:tcPr>
          <w:p w14:paraId="2B7278CE"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5.1%</w:t>
            </w:r>
          </w:p>
        </w:tc>
        <w:tc>
          <w:tcPr>
            <w:tcW w:w="1177" w:type="pct"/>
            <w:vAlign w:val="bottom"/>
          </w:tcPr>
          <w:p w14:paraId="619138B2"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52.7%</w:t>
            </w:r>
          </w:p>
        </w:tc>
        <w:tc>
          <w:tcPr>
            <w:tcW w:w="1177" w:type="pct"/>
            <w:vAlign w:val="bottom"/>
          </w:tcPr>
          <w:p w14:paraId="1B38F7E8"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54.1%</w:t>
            </w:r>
          </w:p>
        </w:tc>
      </w:tr>
      <w:tr w:rsidR="00BD3166" w14:paraId="718639EB" w14:textId="77777777">
        <w:tc>
          <w:tcPr>
            <w:tcW w:w="881" w:type="pct"/>
          </w:tcPr>
          <w:p w14:paraId="403DB618"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国民技术</w:t>
            </w:r>
          </w:p>
        </w:tc>
        <w:tc>
          <w:tcPr>
            <w:tcW w:w="883" w:type="pct"/>
            <w:vAlign w:val="bottom"/>
          </w:tcPr>
          <w:p w14:paraId="1A7F90DC"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34.9%</w:t>
            </w:r>
          </w:p>
        </w:tc>
        <w:tc>
          <w:tcPr>
            <w:tcW w:w="883" w:type="pct"/>
            <w:vAlign w:val="bottom"/>
          </w:tcPr>
          <w:p w14:paraId="2AE50F1B"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33.4%</w:t>
            </w:r>
          </w:p>
        </w:tc>
        <w:tc>
          <w:tcPr>
            <w:tcW w:w="1177" w:type="pct"/>
            <w:vAlign w:val="bottom"/>
          </w:tcPr>
          <w:p w14:paraId="308147B7"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26.5%</w:t>
            </w:r>
          </w:p>
        </w:tc>
        <w:tc>
          <w:tcPr>
            <w:tcW w:w="1177" w:type="pct"/>
            <w:vAlign w:val="bottom"/>
          </w:tcPr>
          <w:p w14:paraId="6AA90734"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16.7%</w:t>
            </w:r>
          </w:p>
        </w:tc>
      </w:tr>
      <w:tr w:rsidR="00BD3166" w14:paraId="09246541" w14:textId="77777777">
        <w:tc>
          <w:tcPr>
            <w:tcW w:w="881" w:type="pct"/>
          </w:tcPr>
          <w:p w14:paraId="4568D904" w14:textId="77777777" w:rsidR="00BD3166" w:rsidRDefault="00C64679">
            <w:pPr>
              <w:jc w:val="center"/>
              <w:rPr>
                <w:rFonts w:ascii="Times New Roman" w:hAnsi="Times New Roman" w:cs="Times New Roman"/>
                <w:color w:val="000000"/>
                <w:kern w:val="0"/>
                <w:szCs w:val="24"/>
              </w:rPr>
            </w:pPr>
            <w:proofErr w:type="gramStart"/>
            <w:r>
              <w:rPr>
                <w:rFonts w:ascii="Times New Roman" w:hAnsi="Times New Roman" w:cs="Times New Roman"/>
                <w:color w:val="000000"/>
                <w:kern w:val="0"/>
                <w:szCs w:val="24"/>
              </w:rPr>
              <w:t>汇顶科技</w:t>
            </w:r>
            <w:proofErr w:type="gramEnd"/>
          </w:p>
        </w:tc>
        <w:tc>
          <w:tcPr>
            <w:tcW w:w="883" w:type="pct"/>
            <w:vAlign w:val="bottom"/>
          </w:tcPr>
          <w:p w14:paraId="625A56FA"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26.2%</w:t>
            </w:r>
          </w:p>
        </w:tc>
        <w:tc>
          <w:tcPr>
            <w:tcW w:w="883" w:type="pct"/>
            <w:vAlign w:val="bottom"/>
          </w:tcPr>
          <w:p w14:paraId="3EC79D92"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16.7%</w:t>
            </w:r>
          </w:p>
        </w:tc>
        <w:tc>
          <w:tcPr>
            <w:tcW w:w="1177" w:type="pct"/>
            <w:vAlign w:val="bottom"/>
          </w:tcPr>
          <w:p w14:paraId="0AF4C156"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0.0%</w:t>
            </w:r>
          </w:p>
        </w:tc>
        <w:tc>
          <w:tcPr>
            <w:tcW w:w="1177" w:type="pct"/>
            <w:vAlign w:val="bottom"/>
          </w:tcPr>
          <w:p w14:paraId="6AA9A4CE" w14:textId="77777777" w:rsidR="00BD3166" w:rsidRDefault="00C64679">
            <w:pPr>
              <w:jc w:val="center"/>
              <w:rPr>
                <w:rFonts w:ascii="Times New Roman" w:hAnsi="Times New Roman" w:cs="Times New Roman"/>
                <w:color w:val="000000"/>
                <w:kern w:val="0"/>
                <w:szCs w:val="24"/>
              </w:rPr>
            </w:pPr>
            <w:r>
              <w:rPr>
                <w:rFonts w:ascii="Times New Roman" w:hAnsi="Times New Roman" w:cs="Times New Roman"/>
                <w:color w:val="000000"/>
                <w:kern w:val="0"/>
                <w:szCs w:val="24"/>
              </w:rPr>
              <w:t>0.0%</w:t>
            </w:r>
          </w:p>
        </w:tc>
      </w:tr>
    </w:tbl>
    <w:p w14:paraId="544D301A"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报告期内，大唐微电子研发人员人数及受教育程度具体如下表所示：</w:t>
      </w:r>
    </w:p>
    <w:tbl>
      <w:tblPr>
        <w:tblStyle w:val="ab"/>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1456"/>
        <w:gridCol w:w="1892"/>
        <w:gridCol w:w="2120"/>
      </w:tblGrid>
      <w:tr w:rsidR="00BD3166" w14:paraId="732247CD" w14:textId="77777777">
        <w:trPr>
          <w:cnfStyle w:val="100000000000" w:firstRow="1" w:lastRow="0" w:firstColumn="0" w:lastColumn="0" w:oddVBand="0" w:evenVBand="0" w:oddHBand="0" w:evenHBand="0" w:firstRowFirstColumn="0" w:firstRowLastColumn="0" w:lastRowFirstColumn="0" w:lastRowLastColumn="0"/>
          <w:trHeight w:val="397"/>
          <w:tblHeader/>
          <w:jc w:val="center"/>
        </w:trPr>
        <w:tc>
          <w:tcPr>
            <w:cnfStyle w:val="001000000100" w:firstRow="0" w:lastRow="0" w:firstColumn="1" w:lastColumn="0" w:oddVBand="0" w:evenVBand="0" w:oddHBand="0" w:evenHBand="0" w:firstRowFirstColumn="1" w:firstRowLastColumn="0" w:lastRowFirstColumn="0" w:lastRowLastColumn="0"/>
            <w:tcW w:w="1792" w:type="pct"/>
            <w:vAlign w:val="center"/>
          </w:tcPr>
          <w:p w14:paraId="303B25D8" w14:textId="77777777" w:rsidR="00BD3166" w:rsidRDefault="00C64679">
            <w:pPr>
              <w:widowControl/>
              <w:jc w:val="center"/>
              <w:rPr>
                <w:b/>
                <w:szCs w:val="21"/>
              </w:rPr>
            </w:pPr>
            <w:r>
              <w:rPr>
                <w:b/>
                <w:szCs w:val="21"/>
              </w:rPr>
              <w:t>项目</w:t>
            </w:r>
          </w:p>
        </w:tc>
        <w:tc>
          <w:tcPr>
            <w:tcW w:w="854" w:type="pct"/>
            <w:vAlign w:val="center"/>
          </w:tcPr>
          <w:p w14:paraId="6827A57C" w14:textId="77777777" w:rsidR="00BD3166" w:rsidRDefault="00C64679">
            <w:pPr>
              <w:widowControl/>
              <w:jc w:val="center"/>
              <w:cnfStyle w:val="100000000000" w:firstRow="1" w:lastRow="0" w:firstColumn="0" w:lastColumn="0" w:oddVBand="0" w:evenVBand="0" w:oddHBand="0" w:evenHBand="0" w:firstRowFirstColumn="0" w:firstRowLastColumn="0" w:lastRowFirstColumn="0" w:lastRowLastColumn="0"/>
              <w:rPr>
                <w:b/>
                <w:kern w:val="0"/>
                <w:szCs w:val="21"/>
              </w:rPr>
            </w:pPr>
            <w:r>
              <w:rPr>
                <w:rFonts w:hint="eastAsia"/>
                <w:b/>
                <w:kern w:val="0"/>
                <w:szCs w:val="21"/>
              </w:rPr>
              <w:t>2020</w:t>
            </w:r>
            <w:r>
              <w:rPr>
                <w:rFonts w:hint="eastAsia"/>
                <w:b/>
                <w:kern w:val="0"/>
                <w:szCs w:val="21"/>
              </w:rPr>
              <w:t>年</w:t>
            </w:r>
          </w:p>
        </w:tc>
        <w:tc>
          <w:tcPr>
            <w:tcW w:w="1110" w:type="pct"/>
            <w:vAlign w:val="center"/>
          </w:tcPr>
          <w:p w14:paraId="540473F7" w14:textId="77777777" w:rsidR="00BD3166" w:rsidRDefault="00C64679">
            <w:pPr>
              <w:widowControl/>
              <w:jc w:val="center"/>
              <w:cnfStyle w:val="100000000000" w:firstRow="1" w:lastRow="0" w:firstColumn="0" w:lastColumn="0" w:oddVBand="0" w:evenVBand="0" w:oddHBand="0" w:evenHBand="0" w:firstRowFirstColumn="0" w:firstRowLastColumn="0" w:lastRowFirstColumn="0" w:lastRowLastColumn="0"/>
              <w:rPr>
                <w:b/>
                <w:kern w:val="0"/>
                <w:szCs w:val="21"/>
              </w:rPr>
            </w:pPr>
            <w:r>
              <w:rPr>
                <w:rFonts w:hint="eastAsia"/>
                <w:b/>
                <w:kern w:val="0"/>
                <w:szCs w:val="21"/>
              </w:rPr>
              <w:t>2019</w:t>
            </w:r>
            <w:r>
              <w:rPr>
                <w:rFonts w:hint="eastAsia"/>
                <w:b/>
                <w:kern w:val="0"/>
                <w:szCs w:val="21"/>
              </w:rPr>
              <w:t>年</w:t>
            </w:r>
          </w:p>
        </w:tc>
        <w:tc>
          <w:tcPr>
            <w:tcW w:w="1244" w:type="pct"/>
            <w:vAlign w:val="center"/>
          </w:tcPr>
          <w:p w14:paraId="49E1B67A" w14:textId="77777777" w:rsidR="00BD3166" w:rsidRDefault="00C64679">
            <w:pPr>
              <w:widowControl/>
              <w:jc w:val="center"/>
              <w:cnfStyle w:val="100000000000" w:firstRow="1" w:lastRow="0" w:firstColumn="0" w:lastColumn="0" w:oddVBand="0" w:evenVBand="0" w:oddHBand="0" w:evenHBand="0" w:firstRowFirstColumn="0" w:firstRowLastColumn="0" w:lastRowFirstColumn="0" w:lastRowLastColumn="0"/>
              <w:rPr>
                <w:b/>
                <w:kern w:val="0"/>
                <w:szCs w:val="21"/>
              </w:rPr>
            </w:pPr>
            <w:r>
              <w:rPr>
                <w:rFonts w:hint="eastAsia"/>
                <w:b/>
                <w:kern w:val="0"/>
                <w:szCs w:val="21"/>
              </w:rPr>
              <w:t>变动比例</w:t>
            </w:r>
          </w:p>
        </w:tc>
      </w:tr>
      <w:tr w:rsidR="00BD3166" w14:paraId="78CC1F7E"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1792" w:type="pct"/>
            <w:vAlign w:val="center"/>
          </w:tcPr>
          <w:p w14:paraId="05296961" w14:textId="77777777" w:rsidR="00BD3166" w:rsidRDefault="00C64679">
            <w:pPr>
              <w:widowControl/>
              <w:jc w:val="left"/>
              <w:rPr>
                <w:kern w:val="0"/>
                <w:szCs w:val="21"/>
              </w:rPr>
            </w:pPr>
            <w:r>
              <w:rPr>
                <w:rFonts w:hint="eastAsia"/>
                <w:kern w:val="0"/>
                <w:szCs w:val="21"/>
              </w:rPr>
              <w:t>研发人员数量（人）</w:t>
            </w:r>
          </w:p>
        </w:tc>
        <w:tc>
          <w:tcPr>
            <w:tcW w:w="854" w:type="pct"/>
            <w:vAlign w:val="center"/>
          </w:tcPr>
          <w:p w14:paraId="20BC62EA"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1"/>
              </w:rPr>
            </w:pPr>
            <w:r>
              <w:rPr>
                <w:rFonts w:hint="eastAsia"/>
                <w:kern w:val="0"/>
                <w:szCs w:val="21"/>
              </w:rPr>
              <w:t>101</w:t>
            </w:r>
          </w:p>
        </w:tc>
        <w:tc>
          <w:tcPr>
            <w:tcW w:w="1110" w:type="pct"/>
            <w:vAlign w:val="center"/>
          </w:tcPr>
          <w:p w14:paraId="762B7915"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1"/>
              </w:rPr>
            </w:pPr>
            <w:r>
              <w:rPr>
                <w:rFonts w:hint="eastAsia"/>
                <w:kern w:val="0"/>
                <w:szCs w:val="21"/>
              </w:rPr>
              <w:t>102</w:t>
            </w:r>
          </w:p>
        </w:tc>
        <w:tc>
          <w:tcPr>
            <w:tcW w:w="1244" w:type="pct"/>
            <w:vAlign w:val="center"/>
          </w:tcPr>
          <w:p w14:paraId="7CD0FECE"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1"/>
              </w:rPr>
            </w:pPr>
            <w:r>
              <w:rPr>
                <w:rFonts w:hint="eastAsia"/>
                <w:kern w:val="0"/>
                <w:szCs w:val="21"/>
              </w:rPr>
              <w:t>-1.0%</w:t>
            </w:r>
          </w:p>
        </w:tc>
      </w:tr>
      <w:tr w:rsidR="00BD3166" w14:paraId="70B767C1"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1792" w:type="pct"/>
            <w:vAlign w:val="center"/>
          </w:tcPr>
          <w:p w14:paraId="49E10BF3" w14:textId="77777777" w:rsidR="00BD3166" w:rsidRDefault="00C64679">
            <w:pPr>
              <w:widowControl/>
              <w:jc w:val="left"/>
              <w:rPr>
                <w:kern w:val="0"/>
                <w:szCs w:val="21"/>
              </w:rPr>
            </w:pPr>
            <w:r>
              <w:rPr>
                <w:rFonts w:hint="eastAsia"/>
                <w:kern w:val="0"/>
                <w:szCs w:val="21"/>
              </w:rPr>
              <w:t>研发人员数量占比</w:t>
            </w:r>
          </w:p>
        </w:tc>
        <w:tc>
          <w:tcPr>
            <w:tcW w:w="854" w:type="pct"/>
            <w:vAlign w:val="center"/>
          </w:tcPr>
          <w:p w14:paraId="599447C3"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1"/>
              </w:rPr>
            </w:pPr>
            <w:r>
              <w:rPr>
                <w:rFonts w:hint="eastAsia"/>
                <w:kern w:val="0"/>
                <w:szCs w:val="21"/>
              </w:rPr>
              <w:t>42.98%</w:t>
            </w:r>
          </w:p>
        </w:tc>
        <w:tc>
          <w:tcPr>
            <w:tcW w:w="1110" w:type="pct"/>
            <w:vAlign w:val="center"/>
          </w:tcPr>
          <w:p w14:paraId="2891DF8E"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1"/>
              </w:rPr>
            </w:pPr>
            <w:r>
              <w:rPr>
                <w:rFonts w:hint="eastAsia"/>
                <w:kern w:val="0"/>
                <w:szCs w:val="21"/>
              </w:rPr>
              <w:t>42.15%</w:t>
            </w:r>
          </w:p>
        </w:tc>
        <w:tc>
          <w:tcPr>
            <w:tcW w:w="1244" w:type="pct"/>
            <w:vAlign w:val="center"/>
          </w:tcPr>
          <w:p w14:paraId="7F3A0AA5"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1"/>
              </w:rPr>
            </w:pPr>
            <w:r>
              <w:rPr>
                <w:rFonts w:hint="eastAsia"/>
                <w:kern w:val="0"/>
                <w:szCs w:val="21"/>
              </w:rPr>
              <w:t>增加</w:t>
            </w:r>
            <w:r>
              <w:rPr>
                <w:rFonts w:hint="eastAsia"/>
                <w:kern w:val="0"/>
                <w:szCs w:val="21"/>
              </w:rPr>
              <w:t>0.8</w:t>
            </w:r>
            <w:r>
              <w:rPr>
                <w:kern w:val="0"/>
                <w:szCs w:val="21"/>
              </w:rPr>
              <w:t>3</w:t>
            </w:r>
            <w:r>
              <w:rPr>
                <w:rFonts w:hint="eastAsia"/>
                <w:kern w:val="0"/>
                <w:szCs w:val="21"/>
              </w:rPr>
              <w:t>个百分点</w:t>
            </w:r>
          </w:p>
        </w:tc>
      </w:tr>
    </w:tbl>
    <w:p w14:paraId="47145538"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2020</w:t>
      </w:r>
      <w:r>
        <w:rPr>
          <w:rFonts w:ascii="Times New Roman" w:hAnsi="Times New Roman" w:cs="Times New Roman" w:hint="eastAsia"/>
          <w:sz w:val="24"/>
        </w:rPr>
        <w:t>年标的公司在职研发人员共计</w:t>
      </w:r>
      <w:r>
        <w:rPr>
          <w:rFonts w:ascii="Times New Roman" w:hAnsi="Times New Roman" w:cs="Times New Roman" w:hint="eastAsia"/>
          <w:sz w:val="24"/>
        </w:rPr>
        <w:t>101</w:t>
      </w:r>
      <w:r>
        <w:rPr>
          <w:rFonts w:ascii="Times New Roman" w:hAnsi="Times New Roman" w:cs="Times New Roman" w:hint="eastAsia"/>
          <w:sz w:val="24"/>
        </w:rPr>
        <w:t>人，研发人员占总人数比例</w:t>
      </w:r>
      <w:r>
        <w:rPr>
          <w:rFonts w:ascii="Times New Roman" w:hAnsi="Times New Roman" w:cs="Times New Roman" w:hint="eastAsia"/>
          <w:sz w:val="24"/>
        </w:rPr>
        <w:t>42.98%</w:t>
      </w:r>
      <w:r>
        <w:rPr>
          <w:rFonts w:ascii="Times New Roman" w:hAnsi="Times New Roman" w:cs="Times New Roman" w:hint="eastAsia"/>
          <w:sz w:val="24"/>
        </w:rPr>
        <w:t>，研发人员中硕士及以上人员占比</w:t>
      </w:r>
      <w:r>
        <w:rPr>
          <w:rFonts w:ascii="Times New Roman" w:hAnsi="Times New Roman" w:cs="Times New Roman" w:hint="eastAsia"/>
          <w:sz w:val="24"/>
        </w:rPr>
        <w:t>68.32%</w:t>
      </w:r>
      <w:r>
        <w:rPr>
          <w:rFonts w:ascii="Times New Roman" w:hAnsi="Times New Roman" w:cs="Times New Roman" w:hint="eastAsia"/>
          <w:sz w:val="24"/>
        </w:rPr>
        <w:t>。同行业可比公司研发人员占总人数比例分布较宽，紫光国微、国民技术</w:t>
      </w:r>
      <w:r>
        <w:rPr>
          <w:rFonts w:ascii="Times New Roman" w:hAnsi="Times New Roman" w:cs="Times New Roman" w:hint="eastAsia"/>
          <w:sz w:val="24"/>
        </w:rPr>
        <w:t>2020</w:t>
      </w:r>
      <w:r>
        <w:rPr>
          <w:rFonts w:ascii="Times New Roman" w:hAnsi="Times New Roman" w:cs="Times New Roman" w:hint="eastAsia"/>
          <w:sz w:val="24"/>
        </w:rPr>
        <w:t>年度研发人员占总人数比例分别为</w:t>
      </w:r>
      <w:r>
        <w:rPr>
          <w:rFonts w:ascii="Times New Roman" w:hAnsi="Times New Roman" w:cs="Times New Roman" w:hint="eastAsia"/>
          <w:sz w:val="24"/>
        </w:rPr>
        <w:t>42.92%</w:t>
      </w:r>
      <w:r>
        <w:rPr>
          <w:rFonts w:ascii="Times New Roman" w:hAnsi="Times New Roman" w:cs="Times New Roman" w:hint="eastAsia"/>
          <w:sz w:val="24"/>
        </w:rPr>
        <w:t>、</w:t>
      </w:r>
      <w:r>
        <w:rPr>
          <w:rFonts w:ascii="Times New Roman" w:hAnsi="Times New Roman" w:cs="Times New Roman" w:hint="eastAsia"/>
          <w:sz w:val="24"/>
        </w:rPr>
        <w:t>42.84%</w:t>
      </w:r>
      <w:r>
        <w:rPr>
          <w:rFonts w:ascii="Times New Roman" w:hAnsi="Times New Roman" w:cs="Times New Roman" w:hint="eastAsia"/>
          <w:sz w:val="24"/>
        </w:rPr>
        <w:t>，大唐微电子研发人员比例符合行业特征，与可比公司基本处于同一水平。</w:t>
      </w:r>
    </w:p>
    <w:p w14:paraId="721613CA"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（二）是否存在明显的技术优势，是否可能面临现有产品或技术被替代的风险</w:t>
      </w:r>
    </w:p>
    <w:p w14:paraId="54023367" w14:textId="20C25DF0"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大唐微电子安全芯片已经广泛应用于公安、社保、金融等多个行业。研发中的新一代智能卡安全芯片，在模拟功能、芯片面积、存储容量等方面持续优化，达到同行业先进水平。高性能终端安全芯片在</w:t>
      </w:r>
      <w:r>
        <w:rPr>
          <w:rFonts w:ascii="Times New Roman" w:hAnsi="Times New Roman" w:cs="Times New Roman" w:hint="eastAsia"/>
          <w:sz w:val="24"/>
        </w:rPr>
        <w:t>Flash</w:t>
      </w:r>
      <w:r>
        <w:rPr>
          <w:rFonts w:ascii="Times New Roman" w:hAnsi="Times New Roman" w:cs="Times New Roman" w:hint="eastAsia"/>
          <w:sz w:val="24"/>
        </w:rPr>
        <w:t>、</w:t>
      </w:r>
      <w:r>
        <w:rPr>
          <w:rFonts w:ascii="Times New Roman" w:hAnsi="Times New Roman" w:cs="Times New Roman" w:hint="eastAsia"/>
          <w:sz w:val="24"/>
        </w:rPr>
        <w:t>IO</w:t>
      </w:r>
      <w:r>
        <w:rPr>
          <w:rFonts w:ascii="Times New Roman" w:hAnsi="Times New Roman" w:cs="Times New Roman" w:hint="eastAsia"/>
          <w:sz w:val="24"/>
        </w:rPr>
        <w:t>、</w:t>
      </w:r>
      <w:r>
        <w:rPr>
          <w:rFonts w:ascii="Times New Roman" w:hAnsi="Times New Roman" w:cs="Times New Roman" w:hint="eastAsia"/>
          <w:sz w:val="24"/>
        </w:rPr>
        <w:t>Spi</w:t>
      </w:r>
      <w:r>
        <w:rPr>
          <w:rFonts w:ascii="Times New Roman" w:hAnsi="Times New Roman" w:cs="Times New Roman" w:hint="eastAsia"/>
          <w:sz w:val="24"/>
        </w:rPr>
        <w:t>等方面持续优化，提升产品性能，降低产品成本，产品已实现百万级的销售。超低功耗物联网安全芯片是公司面向物联网市场多样化需求研发的安全芯片产品，可应对不同的物联网市场。综合来说，标的公司研发拥有多年的技术储备，在工艺成熟度、芯片安全技术、非接射频技术、低功耗技术、安全算法技术等方面积累了大量经验和科技成果，安全芯片产品在同行业中具有竞争力。</w:t>
      </w:r>
    </w:p>
    <w:p w14:paraId="737ADC8B" w14:textId="5B9A721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现有产品及技术存在一定的被替代风险，电子证件的普及新型支付手段的涌现必然会对智能卡类安全芯片的增量市场产生一定影响，此外，若标的公司安全芯片产品不能有效满足新一代社保卡、身份证等的换发要求亦存在一定的被替代风险。但是安全芯片新应用场景的出现，如物联网对安全的要求不断</w:t>
      </w:r>
      <w:r>
        <w:rPr>
          <w:rFonts w:ascii="Times New Roman" w:hAnsi="Times New Roman" w:cs="Times New Roman" w:hint="eastAsia"/>
          <w:sz w:val="24"/>
        </w:rPr>
        <w:lastRenderedPageBreak/>
        <w:t>升级，必然给安全芯片开拓新的更为广阔的市场。</w:t>
      </w:r>
    </w:p>
    <w:p w14:paraId="4B6BB070"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（三）并结合标的公司业务开拓情况，说明研发投入占比提升的原因及合理性</w:t>
      </w:r>
    </w:p>
    <w:p w14:paraId="7D5CA0E9"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主要开拓安全芯片业务，向公安、社保、金融、城市管理、交通等行业客户提供包括二代身份证芯片和模块、社保卡芯片和模块、金融支付芯片、指纹传感器和指纹算法芯片、读卡器芯片、终端安全芯片等产品。报告期内，大唐微电子大部分产品销售保持稳定，但由于社保卡市场面临更新换代，大唐微电子占有较大优势的二代社保卡发卡量大幅下降，而三代社保卡尚未得到全面普及，导致标的公司整体收入较同期有所减少。</w:t>
      </w:r>
    </w:p>
    <w:p w14:paraId="6595FDE2"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同时大唐微电子加大了研发投入，一方面在传统的智能卡安全芯片和终端安全芯片方面持续投入，另一方面开始研发超低功耗物联网安全芯片，以拓展更多的应用领域。因此，研发投入的上升和营业收入的减少，使得</w:t>
      </w:r>
      <w:r>
        <w:rPr>
          <w:rFonts w:ascii="Times New Roman" w:hAnsi="Times New Roman" w:cs="Times New Roman" w:hint="eastAsia"/>
          <w:sz w:val="24"/>
        </w:rPr>
        <w:t>2020</w:t>
      </w:r>
      <w:r>
        <w:rPr>
          <w:rFonts w:ascii="Times New Roman" w:hAnsi="Times New Roman" w:cs="Times New Roman" w:hint="eastAsia"/>
          <w:sz w:val="24"/>
        </w:rPr>
        <w:t>年度公司研发费用占营业收入的比重增加。</w:t>
      </w:r>
    </w:p>
    <w:p w14:paraId="4639AF07"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五、独立财务顾问核查意见</w:t>
      </w:r>
    </w:p>
    <w:p w14:paraId="2DFC76E9" w14:textId="2213C952"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经核查，独立财务顾问认为：大唐微电子处于安全芯片类产业链上游，主要从事芯片设计，主要资产与主营业务相匹配；大唐微电子固定资产折旧政策以及折旧费用的计提与同行业可比公司不存在显著差异，大唐微电子目前的机器设备可以满足日常经营活动要求，不存在相关障碍；大唐微电子费用化及资本</w:t>
      </w:r>
      <w:proofErr w:type="gramStart"/>
      <w:r>
        <w:rPr>
          <w:rFonts w:ascii="Times New Roman" w:eastAsia="宋体" w:hAnsi="Times New Roman" w:cs="Times New Roman" w:hint="eastAsia"/>
          <w:color w:val="000000"/>
          <w:sz w:val="24"/>
          <w:szCs w:val="24"/>
        </w:rPr>
        <w:t>化金额</w:t>
      </w:r>
      <w:proofErr w:type="gramEnd"/>
      <w:r>
        <w:rPr>
          <w:rFonts w:ascii="Times New Roman" w:eastAsia="宋体" w:hAnsi="Times New Roman" w:cs="Times New Roman" w:hint="eastAsia"/>
          <w:color w:val="000000"/>
          <w:sz w:val="24"/>
          <w:szCs w:val="24"/>
        </w:rPr>
        <w:t>与占比、研发人员人数及受教育程度与同行业公司相比不存在重大差异，大唐微电子现有安全芯片成熟产品具备技术优势，大唐微电子现有产品及技术存在一定的被替代风险但亦面临发展机遇；大唐微电子人员费用、芯片制造等费用有所增加使得研发投入占比提升。</w:t>
      </w:r>
    </w:p>
    <w:p w14:paraId="496A9A8A"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六、会计师核查意见</w:t>
      </w:r>
    </w:p>
    <w:p w14:paraId="19B78E6E"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经核查，会计师认为：上述公司的说明与我们执行审计程序时获得的信息在所有重大方面是一致的。大唐微电子的资产构成与主营业务相匹配，固定资产折旧政策以及折旧费用计提合理；标的公司研发投入的具体内容及项目进展、费用化及资本</w:t>
      </w:r>
      <w:proofErr w:type="gramStart"/>
      <w:r>
        <w:rPr>
          <w:rFonts w:ascii="Times New Roman" w:eastAsia="宋体" w:hAnsi="Times New Roman" w:cs="Times New Roman" w:hint="eastAsia"/>
          <w:color w:val="000000"/>
          <w:sz w:val="24"/>
          <w:szCs w:val="24"/>
        </w:rPr>
        <w:t>化金额</w:t>
      </w:r>
      <w:proofErr w:type="gramEnd"/>
      <w:r>
        <w:rPr>
          <w:rFonts w:ascii="Times New Roman" w:eastAsia="宋体" w:hAnsi="Times New Roman" w:cs="Times New Roman" w:hint="eastAsia"/>
          <w:color w:val="000000"/>
          <w:sz w:val="24"/>
          <w:szCs w:val="24"/>
        </w:rPr>
        <w:t>与占比、研发人员人数及受教育程度，与同行业可比公司不存在</w:t>
      </w:r>
      <w:r>
        <w:rPr>
          <w:rFonts w:ascii="Times New Roman" w:eastAsia="宋体" w:hAnsi="Times New Roman" w:cs="Times New Roman" w:hint="eastAsia"/>
          <w:color w:val="000000"/>
          <w:sz w:val="24"/>
          <w:szCs w:val="24"/>
        </w:rPr>
        <w:lastRenderedPageBreak/>
        <w:t>重大差异。研发投入占比提升具有合理性。</w:t>
      </w:r>
    </w:p>
    <w:p w14:paraId="31DFD3D3" w14:textId="77777777" w:rsidR="00BD3166" w:rsidRDefault="00C64679">
      <w:pPr>
        <w:pStyle w:val="aa"/>
        <w:spacing w:beforeLines="50" w:before="156" w:afterLines="50" w:after="156" w:line="360" w:lineRule="auto"/>
        <w:ind w:left="420" w:firstLineChars="0" w:firstLine="0"/>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七、补充披露情况</w:t>
      </w:r>
    </w:p>
    <w:p w14:paraId="72CE1287" w14:textId="77777777" w:rsidR="00BD3166" w:rsidRDefault="00C64679">
      <w:pPr>
        <w:pStyle w:val="aa"/>
        <w:autoSpaceDE w:val="0"/>
        <w:autoSpaceDN w:val="0"/>
        <w:spacing w:beforeLines="50" w:before="156" w:line="360"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公司已在重组报告书“第八节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管理层讨论与分析”之“二、标的公司行业特点和经营情况的讨论与分析”补充披露标的公司各业务板块的基本情况，包括但不限于市场规模、发展趋势、产业政策、业务壁垒、所处地位、竞争对手；公司已在重组报告书“第四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交易标的基本情况”之“五、标的公司主营业务发展情况”补充披露标的公司各业务板块的业务模式、盈利模式、结算模式、收入确认政策和时点；公司已在重组报告书“第八节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管理层讨论与分析”之“三、标的公司的财务状况与盈利能力分析”补充披露标的公司资产构成与主营业务的匹配度，固定资产折旧政策以及折旧费用计提的合理性，后期标的公司利用前述设备开展经营活动是否存在相关障碍，是否需要新增大额投入；公司已在重组报告书“第八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管理层讨论与分析”之“三、标的公司的财务状况与盈利能力分析”补充披露标的公司研发投入的具体内容及项目进展、费用化及资本</w:t>
      </w:r>
      <w:proofErr w:type="gramStart"/>
      <w:r>
        <w:rPr>
          <w:rFonts w:ascii="Times New Roman" w:eastAsia="宋体" w:hAnsi="Times New Roman" w:cs="Times New Roman" w:hint="eastAsia"/>
          <w:color w:val="000000"/>
          <w:sz w:val="24"/>
          <w:szCs w:val="24"/>
        </w:rPr>
        <w:t>化金额</w:t>
      </w:r>
      <w:proofErr w:type="gramEnd"/>
      <w:r>
        <w:rPr>
          <w:rFonts w:ascii="Times New Roman" w:eastAsia="宋体" w:hAnsi="Times New Roman" w:cs="Times New Roman" w:hint="eastAsia"/>
          <w:color w:val="000000"/>
          <w:sz w:val="24"/>
          <w:szCs w:val="24"/>
        </w:rPr>
        <w:t>与占比、研发人员人数及受教育程度，是否与同行业可比公司相一致，是否存在明显的技术优势，是否可能面临现有产品或技术被替代的风险，并结合标的公司业务开拓情况，说明研发投入占比提升的原因及合理性。</w:t>
      </w:r>
    </w:p>
    <w:p w14:paraId="1657BDCC" w14:textId="77777777" w:rsidR="00BD3166" w:rsidRDefault="00C64679">
      <w:pPr>
        <w:spacing w:beforeLines="50" w:before="156" w:afterLines="50" w:after="156" w:line="360" w:lineRule="auto"/>
        <w:ind w:firstLineChars="200" w:firstLine="482"/>
        <w:outlineLvl w:val="0"/>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问题</w:t>
      </w:r>
      <w:r>
        <w:rPr>
          <w:rFonts w:ascii="Times New Roman" w:eastAsia="宋体" w:hAnsi="Times New Roman" w:cs="Times New Roman"/>
          <w:b/>
          <w:color w:val="000000"/>
          <w:sz w:val="24"/>
          <w:szCs w:val="24"/>
        </w:rPr>
        <w:t>6.</w:t>
      </w:r>
      <w:r>
        <w:rPr>
          <w:rFonts w:ascii="Times New Roman" w:eastAsia="宋体" w:hAnsi="Times New Roman" w:cs="Times New Roman"/>
          <w:b/>
          <w:color w:val="000000"/>
          <w:sz w:val="24"/>
          <w:szCs w:val="24"/>
        </w:rPr>
        <w:t>草案披露，报告期内标的公司营业收入、净利润、经营现金流均呈下滑趋势，</w:t>
      </w:r>
      <w:r>
        <w:rPr>
          <w:rFonts w:ascii="Times New Roman" w:eastAsia="宋体" w:hAnsi="Times New Roman" w:cs="Times New Roman"/>
          <w:b/>
          <w:color w:val="000000"/>
          <w:sz w:val="24"/>
          <w:szCs w:val="24"/>
        </w:rPr>
        <w:t>2019-2020</w:t>
      </w:r>
      <w:r>
        <w:rPr>
          <w:rFonts w:ascii="Times New Roman" w:eastAsia="宋体" w:hAnsi="Times New Roman" w:cs="Times New Roman"/>
          <w:b/>
          <w:color w:val="000000"/>
          <w:sz w:val="24"/>
          <w:szCs w:val="24"/>
        </w:rPr>
        <w:t>年经审计营业收入为</w:t>
      </w:r>
      <w:r>
        <w:rPr>
          <w:rFonts w:ascii="Times New Roman" w:eastAsia="宋体" w:hAnsi="Times New Roman" w:cs="Times New Roman"/>
          <w:b/>
          <w:color w:val="000000"/>
          <w:sz w:val="24"/>
          <w:szCs w:val="24"/>
        </w:rPr>
        <w:t>4.11</w:t>
      </w:r>
      <w:r>
        <w:rPr>
          <w:rFonts w:ascii="Times New Roman" w:eastAsia="宋体" w:hAnsi="Times New Roman" w:cs="Times New Roman"/>
          <w:b/>
          <w:color w:val="000000"/>
          <w:sz w:val="24"/>
          <w:szCs w:val="24"/>
        </w:rPr>
        <w:t>亿元、</w:t>
      </w:r>
      <w:r>
        <w:rPr>
          <w:rFonts w:ascii="Times New Roman" w:eastAsia="宋体" w:hAnsi="Times New Roman" w:cs="Times New Roman"/>
          <w:b/>
          <w:color w:val="000000"/>
          <w:sz w:val="24"/>
          <w:szCs w:val="24"/>
        </w:rPr>
        <w:t>3.63</w:t>
      </w:r>
      <w:r>
        <w:rPr>
          <w:rFonts w:ascii="Times New Roman" w:eastAsia="宋体" w:hAnsi="Times New Roman" w:cs="Times New Roman"/>
          <w:b/>
          <w:color w:val="000000"/>
          <w:sz w:val="24"/>
          <w:szCs w:val="24"/>
        </w:rPr>
        <w:t>亿元，净利润为</w:t>
      </w:r>
      <w:r>
        <w:rPr>
          <w:rFonts w:ascii="Times New Roman" w:eastAsia="宋体" w:hAnsi="Times New Roman" w:cs="Times New Roman"/>
          <w:b/>
          <w:color w:val="000000"/>
          <w:sz w:val="24"/>
          <w:szCs w:val="24"/>
        </w:rPr>
        <w:t>4975.42</w:t>
      </w:r>
      <w:r>
        <w:rPr>
          <w:rFonts w:ascii="Times New Roman" w:eastAsia="宋体" w:hAnsi="Times New Roman" w:cs="Times New Roman"/>
          <w:b/>
          <w:color w:val="000000"/>
          <w:sz w:val="24"/>
          <w:szCs w:val="24"/>
        </w:rPr>
        <w:t>万元、</w:t>
      </w:r>
      <w:r>
        <w:rPr>
          <w:rFonts w:ascii="Times New Roman" w:eastAsia="宋体" w:hAnsi="Times New Roman" w:cs="Times New Roman"/>
          <w:b/>
          <w:color w:val="000000"/>
          <w:sz w:val="24"/>
          <w:szCs w:val="24"/>
        </w:rPr>
        <w:t>-1529.93</w:t>
      </w:r>
      <w:r>
        <w:rPr>
          <w:rFonts w:ascii="Times New Roman" w:eastAsia="宋体" w:hAnsi="Times New Roman" w:cs="Times New Roman"/>
          <w:b/>
          <w:color w:val="000000"/>
          <w:sz w:val="24"/>
          <w:szCs w:val="24"/>
        </w:rPr>
        <w:t>万元（剔除财务整改影响后为</w:t>
      </w:r>
      <w:r>
        <w:rPr>
          <w:rFonts w:ascii="Times New Roman" w:eastAsia="宋体" w:hAnsi="Times New Roman" w:cs="Times New Roman"/>
          <w:b/>
          <w:color w:val="000000"/>
          <w:sz w:val="24"/>
          <w:szCs w:val="24"/>
        </w:rPr>
        <w:t>4280.22</w:t>
      </w:r>
      <w:r>
        <w:rPr>
          <w:rFonts w:ascii="Times New Roman" w:eastAsia="宋体" w:hAnsi="Times New Roman" w:cs="Times New Roman"/>
          <w:b/>
          <w:color w:val="000000"/>
          <w:sz w:val="24"/>
          <w:szCs w:val="24"/>
        </w:rPr>
        <w:t>万元），经营活动现金流净额为</w:t>
      </w:r>
      <w:r>
        <w:rPr>
          <w:rFonts w:ascii="Times New Roman" w:eastAsia="宋体" w:hAnsi="Times New Roman" w:cs="Times New Roman"/>
          <w:b/>
          <w:color w:val="000000"/>
          <w:sz w:val="24"/>
          <w:szCs w:val="24"/>
        </w:rPr>
        <w:t>1.57</w:t>
      </w:r>
      <w:r>
        <w:rPr>
          <w:rFonts w:ascii="Times New Roman" w:eastAsia="宋体" w:hAnsi="Times New Roman" w:cs="Times New Roman"/>
          <w:b/>
          <w:color w:val="000000"/>
          <w:sz w:val="24"/>
          <w:szCs w:val="24"/>
        </w:rPr>
        <w:t>亿元、</w:t>
      </w:r>
      <w:r>
        <w:rPr>
          <w:rFonts w:ascii="Times New Roman" w:eastAsia="宋体" w:hAnsi="Times New Roman" w:cs="Times New Roman"/>
          <w:b/>
          <w:color w:val="000000"/>
          <w:sz w:val="24"/>
          <w:szCs w:val="24"/>
        </w:rPr>
        <w:t>1.07</w:t>
      </w:r>
      <w:r>
        <w:rPr>
          <w:rFonts w:ascii="Times New Roman" w:eastAsia="宋体" w:hAnsi="Times New Roman" w:cs="Times New Roman"/>
          <w:b/>
          <w:color w:val="000000"/>
          <w:sz w:val="24"/>
          <w:szCs w:val="24"/>
        </w:rPr>
        <w:t>亿元，但投资活动现金净流出由</w:t>
      </w:r>
      <w:r>
        <w:rPr>
          <w:rFonts w:ascii="Times New Roman" w:eastAsia="宋体" w:hAnsi="Times New Roman" w:cs="Times New Roman"/>
          <w:b/>
          <w:color w:val="000000"/>
          <w:sz w:val="24"/>
          <w:szCs w:val="24"/>
        </w:rPr>
        <w:t>0.28</w:t>
      </w:r>
      <w:r>
        <w:rPr>
          <w:rFonts w:ascii="Times New Roman" w:eastAsia="宋体" w:hAnsi="Times New Roman" w:cs="Times New Roman"/>
          <w:b/>
          <w:color w:val="000000"/>
          <w:sz w:val="24"/>
          <w:szCs w:val="24"/>
        </w:rPr>
        <w:t>亿元大幅增长至</w:t>
      </w:r>
      <w:r>
        <w:rPr>
          <w:rFonts w:ascii="Times New Roman" w:eastAsia="宋体" w:hAnsi="Times New Roman" w:cs="Times New Roman"/>
          <w:b/>
          <w:color w:val="000000"/>
          <w:sz w:val="24"/>
          <w:szCs w:val="24"/>
        </w:rPr>
        <w:t>1.98</w:t>
      </w:r>
      <w:r>
        <w:rPr>
          <w:rFonts w:ascii="Times New Roman" w:eastAsia="宋体" w:hAnsi="Times New Roman" w:cs="Times New Roman"/>
          <w:b/>
          <w:color w:val="000000"/>
          <w:sz w:val="24"/>
          <w:szCs w:val="24"/>
        </w:rPr>
        <w:t>亿元。此外，标的公司资产负债率较高，</w:t>
      </w:r>
      <w:r>
        <w:rPr>
          <w:rFonts w:ascii="Times New Roman" w:eastAsia="宋体" w:hAnsi="Times New Roman" w:cs="Times New Roman"/>
          <w:b/>
          <w:color w:val="000000"/>
          <w:sz w:val="24"/>
          <w:szCs w:val="24"/>
        </w:rPr>
        <w:t>2020</w:t>
      </w:r>
      <w:r>
        <w:rPr>
          <w:rFonts w:ascii="Times New Roman" w:eastAsia="宋体" w:hAnsi="Times New Roman" w:cs="Times New Roman"/>
          <w:b/>
          <w:color w:val="000000"/>
          <w:sz w:val="24"/>
          <w:szCs w:val="24"/>
        </w:rPr>
        <w:t>年末为</w:t>
      </w:r>
      <w:r>
        <w:rPr>
          <w:rFonts w:ascii="Times New Roman" w:eastAsia="宋体" w:hAnsi="Times New Roman" w:cs="Times New Roman"/>
          <w:b/>
          <w:color w:val="000000"/>
          <w:sz w:val="24"/>
          <w:szCs w:val="24"/>
        </w:rPr>
        <w:t>70.8%</w:t>
      </w:r>
      <w:r>
        <w:rPr>
          <w:rFonts w:ascii="Times New Roman" w:eastAsia="宋体" w:hAnsi="Times New Roman" w:cs="Times New Roman"/>
          <w:b/>
          <w:color w:val="000000"/>
          <w:sz w:val="24"/>
          <w:szCs w:val="24"/>
        </w:rPr>
        <w:t>，负债主要由短期借款、应付账款、其他应付款、长期应付款构成。其中，其他应付款约</w:t>
      </w:r>
      <w:r>
        <w:rPr>
          <w:rFonts w:ascii="Times New Roman" w:eastAsia="宋体" w:hAnsi="Times New Roman" w:cs="Times New Roman"/>
          <w:b/>
          <w:color w:val="000000"/>
          <w:sz w:val="24"/>
          <w:szCs w:val="24"/>
        </w:rPr>
        <w:t>3.31</w:t>
      </w:r>
      <w:r>
        <w:rPr>
          <w:rFonts w:ascii="Times New Roman" w:eastAsia="宋体" w:hAnsi="Times New Roman" w:cs="Times New Roman"/>
          <w:b/>
          <w:color w:val="000000"/>
          <w:sz w:val="24"/>
          <w:szCs w:val="24"/>
        </w:rPr>
        <w:t>亿元，往来款占</w:t>
      </w:r>
      <w:r>
        <w:rPr>
          <w:rFonts w:ascii="Times New Roman" w:eastAsia="宋体" w:hAnsi="Times New Roman" w:cs="Times New Roman"/>
          <w:b/>
          <w:color w:val="000000"/>
          <w:sz w:val="24"/>
          <w:szCs w:val="24"/>
        </w:rPr>
        <w:t>3.27</w:t>
      </w:r>
      <w:r>
        <w:rPr>
          <w:rFonts w:ascii="Times New Roman" w:eastAsia="宋体" w:hAnsi="Times New Roman" w:cs="Times New Roman"/>
          <w:b/>
          <w:color w:val="000000"/>
          <w:sz w:val="24"/>
          <w:szCs w:val="24"/>
        </w:rPr>
        <w:t>亿元，长期应付款约</w:t>
      </w:r>
      <w:r>
        <w:rPr>
          <w:rFonts w:ascii="Times New Roman" w:eastAsia="宋体" w:hAnsi="Times New Roman" w:cs="Times New Roman"/>
          <w:b/>
          <w:color w:val="000000"/>
          <w:sz w:val="24"/>
          <w:szCs w:val="24"/>
        </w:rPr>
        <w:t>1.07</w:t>
      </w:r>
      <w:r>
        <w:rPr>
          <w:rFonts w:ascii="Times New Roman" w:eastAsia="宋体" w:hAnsi="Times New Roman" w:cs="Times New Roman"/>
          <w:b/>
          <w:color w:val="000000"/>
          <w:sz w:val="24"/>
          <w:szCs w:val="24"/>
        </w:rPr>
        <w:t>亿元</w:t>
      </w:r>
      <w:proofErr w:type="gramStart"/>
      <w:r>
        <w:rPr>
          <w:rFonts w:ascii="Times New Roman" w:eastAsia="宋体" w:hAnsi="Times New Roman" w:cs="Times New Roman"/>
          <w:b/>
          <w:color w:val="000000"/>
          <w:sz w:val="24"/>
          <w:szCs w:val="24"/>
        </w:rPr>
        <w:t>且报告</w:t>
      </w:r>
      <w:proofErr w:type="gramEnd"/>
      <w:r>
        <w:rPr>
          <w:rFonts w:ascii="Times New Roman" w:eastAsia="宋体" w:hAnsi="Times New Roman" w:cs="Times New Roman"/>
          <w:b/>
          <w:color w:val="000000"/>
          <w:sz w:val="24"/>
          <w:szCs w:val="24"/>
        </w:rPr>
        <w:t>期内增幅较大。请公司补充披露：（</w:t>
      </w: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列示报告期内标的公司各业务板块的营业收入、营业成本、毛利率等主要财务指标，就变动情况说明原因，并结合主营业务变化情况，分别说明经营活动现金流净额下降、投资活动现金净流出大幅增加的原因及合理性；（</w:t>
      </w: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）结合标的公司负债结构、货币资金及现金流情况，分析标的公司的偿债能力及流动性；（</w:t>
      </w:r>
      <w:r>
        <w:rPr>
          <w:rFonts w:ascii="Times New Roman" w:eastAsia="宋体" w:hAnsi="Times New Roman" w:cs="Times New Roman"/>
          <w:b/>
          <w:color w:val="000000"/>
          <w:sz w:val="24"/>
          <w:szCs w:val="24"/>
        </w:rPr>
        <w:t>3</w:t>
      </w:r>
      <w:r>
        <w:rPr>
          <w:rFonts w:ascii="Times New Roman" w:eastAsia="宋体" w:hAnsi="Times New Roman" w:cs="Times New Roman"/>
          <w:b/>
          <w:color w:val="000000"/>
          <w:sz w:val="24"/>
          <w:szCs w:val="24"/>
        </w:rPr>
        <w:t>）其他应付款和长期应付款的明细内容、付款方，是否存在关</w:t>
      </w:r>
      <w:r>
        <w:rPr>
          <w:rFonts w:ascii="Times New Roman" w:eastAsia="宋体" w:hAnsi="Times New Roman" w:cs="Times New Roman"/>
          <w:b/>
          <w:color w:val="000000"/>
          <w:sz w:val="24"/>
          <w:szCs w:val="24"/>
        </w:rPr>
        <w:lastRenderedPageBreak/>
        <w:t>联关系，并就变动情况说明原因及合理性。请财务顾问和会计师发表意见。</w:t>
      </w:r>
    </w:p>
    <w:p w14:paraId="3F18F5DB" w14:textId="77777777" w:rsidR="00BD3166" w:rsidRDefault="00C64679">
      <w:pPr>
        <w:spacing w:line="360" w:lineRule="auto"/>
        <w:ind w:firstLineChars="200" w:firstLine="482"/>
        <w:rPr>
          <w:rFonts w:ascii="Times New Roman" w:hAnsi="Times New Roman" w:cs="Times New Roman"/>
          <w:sz w:val="24"/>
        </w:rPr>
      </w:pPr>
      <w:r>
        <w:rPr>
          <w:rFonts w:ascii="Times New Roman" w:hAnsi="Times New Roman" w:cs="Times New Roman"/>
          <w:b/>
          <w:sz w:val="24"/>
        </w:rPr>
        <w:t>回复</w:t>
      </w:r>
      <w:r>
        <w:rPr>
          <w:rFonts w:ascii="Times New Roman" w:hAnsi="Times New Roman" w:cs="Times New Roman" w:hint="eastAsia"/>
          <w:b/>
          <w:sz w:val="24"/>
        </w:rPr>
        <w:t>：</w:t>
      </w:r>
    </w:p>
    <w:p w14:paraId="3B9C959F"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列示报告期内标的公司各业务板块的营业收入、营业成本、毛利率等主要财务指标，就变动情况说明原因，并结合主营业务变化情况，分别说明经营活动现金流净额下降、投资活动现金净流出大幅增加的原因及合理性</w:t>
      </w:r>
    </w:p>
    <w:p w14:paraId="0124BE0C"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（一）列示报告期内标的公司各业务板块的营业收入、营业成本、毛利率等主要财务指标，就变动情况说明原因</w:t>
      </w:r>
    </w:p>
    <w:p w14:paraId="799B7832"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大唐微电子主营安全芯片设计业务，报告期内营业收入、营业成本及毛利率情况具体如下：</w:t>
      </w:r>
    </w:p>
    <w:p w14:paraId="5C5F0BF3" w14:textId="77777777" w:rsidR="00BD3166" w:rsidRDefault="00C64679">
      <w:pPr>
        <w:ind w:firstLineChars="200" w:firstLine="420"/>
        <w:jc w:val="right"/>
        <w:rPr>
          <w:rFonts w:ascii="Times New Roman" w:hAnsi="Times New Roman" w:cs="Times New Roman"/>
        </w:rPr>
      </w:pPr>
      <w:r>
        <w:rPr>
          <w:rFonts w:ascii="Times New Roman" w:hAnsi="Times New Roman" w:cs="Times New Roman" w:hint="eastAsia"/>
        </w:rPr>
        <w:t>单位：万元</w:t>
      </w:r>
    </w:p>
    <w:tbl>
      <w:tblPr>
        <w:tblStyle w:val="ab"/>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70" w:type="dxa"/>
          <w:bottom w:w="20" w:type="dxa"/>
          <w:right w:w="70" w:type="dxa"/>
        </w:tblCellMar>
        <w:tblLook w:val="04A0" w:firstRow="1" w:lastRow="0" w:firstColumn="1" w:lastColumn="0" w:noHBand="0" w:noVBand="1"/>
      </w:tblPr>
      <w:tblGrid>
        <w:gridCol w:w="1579"/>
        <w:gridCol w:w="1106"/>
        <w:gridCol w:w="1106"/>
        <w:gridCol w:w="1223"/>
        <w:gridCol w:w="1104"/>
        <w:gridCol w:w="1104"/>
        <w:gridCol w:w="1221"/>
      </w:tblGrid>
      <w:tr w:rsidR="00BD3166" w14:paraId="7948B25F" w14:textId="77777777">
        <w:trPr>
          <w:cnfStyle w:val="100000000000" w:firstRow="1" w:lastRow="0" w:firstColumn="0" w:lastColumn="0" w:oddVBand="0" w:evenVBand="0" w:oddHBand="0" w:evenHBand="0" w:firstRowFirstColumn="0" w:firstRowLastColumn="0" w:lastRowFirstColumn="0" w:lastRowLastColumn="0"/>
          <w:cantSplit/>
          <w:trHeight w:val="454"/>
        </w:trPr>
        <w:tc>
          <w:tcPr>
            <w:cnfStyle w:val="001000000100" w:firstRow="0" w:lastRow="0" w:firstColumn="1" w:lastColumn="0" w:oddVBand="0" w:evenVBand="0" w:oddHBand="0" w:evenHBand="0" w:firstRowFirstColumn="1" w:firstRowLastColumn="0" w:lastRowFirstColumn="0" w:lastRowLastColumn="0"/>
            <w:tcW w:w="935" w:type="pct"/>
            <w:vMerge w:val="restart"/>
            <w:vAlign w:val="center"/>
          </w:tcPr>
          <w:p w14:paraId="455A6356" w14:textId="77777777" w:rsidR="00BD3166" w:rsidRDefault="00C64679" w:rsidP="00E367D8">
            <w:pPr>
              <w:widowControl/>
              <w:adjustRightInd w:val="0"/>
              <w:snapToGrid w:val="0"/>
              <w:spacing w:line="240" w:lineRule="auto"/>
              <w:jc w:val="center"/>
              <w:rPr>
                <w:b/>
                <w:snapToGrid w:val="0"/>
                <w:color w:val="auto"/>
                <w:kern w:val="0"/>
                <w:szCs w:val="16"/>
              </w:rPr>
            </w:pPr>
            <w:r>
              <w:rPr>
                <w:rFonts w:hint="eastAsia"/>
                <w:b/>
                <w:snapToGrid w:val="0"/>
                <w:kern w:val="0"/>
                <w:szCs w:val="16"/>
              </w:rPr>
              <w:t>项目</w:t>
            </w:r>
          </w:p>
        </w:tc>
        <w:tc>
          <w:tcPr>
            <w:tcW w:w="2034" w:type="pct"/>
            <w:gridSpan w:val="3"/>
            <w:vAlign w:val="center"/>
          </w:tcPr>
          <w:p w14:paraId="37A1AFF6" w14:textId="77777777" w:rsidR="00BD3166" w:rsidRDefault="00C64679" w:rsidP="00E367D8">
            <w:pPr>
              <w:widowControl/>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6"/>
              </w:rPr>
            </w:pPr>
            <w:r>
              <w:rPr>
                <w:b/>
                <w:snapToGrid w:val="0"/>
                <w:kern w:val="0"/>
                <w:szCs w:val="16"/>
              </w:rPr>
              <w:t>2020</w:t>
            </w:r>
            <w:r>
              <w:rPr>
                <w:rFonts w:hint="eastAsia"/>
                <w:b/>
                <w:snapToGrid w:val="0"/>
                <w:kern w:val="0"/>
                <w:szCs w:val="16"/>
              </w:rPr>
              <w:t>年度</w:t>
            </w:r>
          </w:p>
        </w:tc>
        <w:tc>
          <w:tcPr>
            <w:tcW w:w="2031" w:type="pct"/>
            <w:gridSpan w:val="3"/>
            <w:vAlign w:val="center"/>
          </w:tcPr>
          <w:p w14:paraId="50E8426A" w14:textId="77777777" w:rsidR="00BD3166" w:rsidRDefault="00C64679" w:rsidP="00E367D8">
            <w:pPr>
              <w:widowControl/>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6"/>
              </w:rPr>
            </w:pPr>
            <w:r>
              <w:rPr>
                <w:b/>
                <w:snapToGrid w:val="0"/>
                <w:kern w:val="0"/>
                <w:szCs w:val="16"/>
              </w:rPr>
              <w:t>2019</w:t>
            </w:r>
            <w:r>
              <w:rPr>
                <w:rFonts w:hint="eastAsia"/>
                <w:b/>
                <w:snapToGrid w:val="0"/>
                <w:kern w:val="0"/>
                <w:szCs w:val="16"/>
              </w:rPr>
              <w:t>年度</w:t>
            </w:r>
          </w:p>
        </w:tc>
      </w:tr>
      <w:tr w:rsidR="00BD3166" w14:paraId="72D0FA2C"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935" w:type="pct"/>
            <w:vMerge/>
            <w:vAlign w:val="center"/>
          </w:tcPr>
          <w:p w14:paraId="74EFECDB" w14:textId="77777777" w:rsidR="00BD3166" w:rsidRDefault="00BD3166" w:rsidP="00E367D8">
            <w:pPr>
              <w:widowControl/>
              <w:adjustRightInd w:val="0"/>
              <w:snapToGrid w:val="0"/>
              <w:spacing w:line="240" w:lineRule="auto"/>
              <w:jc w:val="center"/>
              <w:rPr>
                <w:snapToGrid w:val="0"/>
                <w:color w:val="auto"/>
                <w:kern w:val="0"/>
                <w:szCs w:val="16"/>
              </w:rPr>
            </w:pPr>
          </w:p>
        </w:tc>
        <w:tc>
          <w:tcPr>
            <w:tcW w:w="655" w:type="pct"/>
            <w:vAlign w:val="center"/>
          </w:tcPr>
          <w:p w14:paraId="335E81A0"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rFonts w:hint="eastAsia"/>
                <w:snapToGrid w:val="0"/>
                <w:kern w:val="0"/>
                <w:szCs w:val="16"/>
              </w:rPr>
              <w:t>收入</w:t>
            </w:r>
          </w:p>
        </w:tc>
        <w:tc>
          <w:tcPr>
            <w:tcW w:w="655" w:type="pct"/>
            <w:vAlign w:val="center"/>
          </w:tcPr>
          <w:p w14:paraId="4B9F9889"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rFonts w:hint="eastAsia"/>
                <w:snapToGrid w:val="0"/>
                <w:kern w:val="0"/>
                <w:szCs w:val="16"/>
              </w:rPr>
              <w:t>成本</w:t>
            </w:r>
          </w:p>
        </w:tc>
        <w:tc>
          <w:tcPr>
            <w:tcW w:w="724" w:type="pct"/>
            <w:vAlign w:val="center"/>
          </w:tcPr>
          <w:p w14:paraId="44ABAF90"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rFonts w:hint="eastAsia"/>
                <w:snapToGrid w:val="0"/>
                <w:kern w:val="0"/>
                <w:szCs w:val="16"/>
              </w:rPr>
              <w:t>毛利率</w:t>
            </w:r>
            <w:r>
              <w:rPr>
                <w:snapToGrid w:val="0"/>
                <w:kern w:val="0"/>
                <w:szCs w:val="16"/>
              </w:rPr>
              <w:t>(%)</w:t>
            </w:r>
          </w:p>
        </w:tc>
        <w:tc>
          <w:tcPr>
            <w:tcW w:w="654" w:type="pct"/>
            <w:vAlign w:val="center"/>
          </w:tcPr>
          <w:p w14:paraId="097B0174"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rFonts w:hint="eastAsia"/>
                <w:snapToGrid w:val="0"/>
                <w:kern w:val="0"/>
                <w:szCs w:val="16"/>
              </w:rPr>
              <w:t>收入</w:t>
            </w:r>
          </w:p>
        </w:tc>
        <w:tc>
          <w:tcPr>
            <w:tcW w:w="654" w:type="pct"/>
            <w:vAlign w:val="center"/>
          </w:tcPr>
          <w:p w14:paraId="4EF38652"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rFonts w:hint="eastAsia"/>
                <w:snapToGrid w:val="0"/>
                <w:kern w:val="0"/>
                <w:szCs w:val="16"/>
              </w:rPr>
              <w:t>成本</w:t>
            </w:r>
          </w:p>
        </w:tc>
        <w:tc>
          <w:tcPr>
            <w:tcW w:w="723" w:type="pct"/>
            <w:vAlign w:val="center"/>
          </w:tcPr>
          <w:p w14:paraId="6F74E70E"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rFonts w:hint="eastAsia"/>
                <w:snapToGrid w:val="0"/>
                <w:kern w:val="0"/>
                <w:szCs w:val="16"/>
              </w:rPr>
              <w:t>毛利率</w:t>
            </w:r>
            <w:r>
              <w:rPr>
                <w:snapToGrid w:val="0"/>
                <w:kern w:val="0"/>
                <w:szCs w:val="16"/>
              </w:rPr>
              <w:t>(%)</w:t>
            </w:r>
          </w:p>
        </w:tc>
      </w:tr>
      <w:tr w:rsidR="00BD3166" w14:paraId="14EE786A"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935" w:type="pct"/>
            <w:vAlign w:val="center"/>
          </w:tcPr>
          <w:p w14:paraId="561A4E03" w14:textId="77777777" w:rsidR="00BD3166" w:rsidRDefault="00C64679" w:rsidP="00E367D8">
            <w:pPr>
              <w:widowControl/>
              <w:adjustRightInd w:val="0"/>
              <w:snapToGrid w:val="0"/>
              <w:spacing w:line="240" w:lineRule="auto"/>
              <w:jc w:val="center"/>
              <w:rPr>
                <w:snapToGrid w:val="0"/>
                <w:color w:val="auto"/>
                <w:kern w:val="0"/>
                <w:szCs w:val="16"/>
              </w:rPr>
            </w:pPr>
            <w:r>
              <w:rPr>
                <w:rFonts w:hint="eastAsia"/>
                <w:snapToGrid w:val="0"/>
                <w:kern w:val="0"/>
                <w:szCs w:val="16"/>
              </w:rPr>
              <w:t>安全芯片设计</w:t>
            </w:r>
          </w:p>
        </w:tc>
        <w:tc>
          <w:tcPr>
            <w:tcW w:w="655" w:type="pct"/>
            <w:vAlign w:val="center"/>
          </w:tcPr>
          <w:p w14:paraId="4A2FB5CF"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35,798.49</w:t>
            </w:r>
          </w:p>
        </w:tc>
        <w:tc>
          <w:tcPr>
            <w:tcW w:w="655" w:type="pct"/>
            <w:vAlign w:val="center"/>
          </w:tcPr>
          <w:p w14:paraId="235EB58B"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16,105.30</w:t>
            </w:r>
          </w:p>
        </w:tc>
        <w:tc>
          <w:tcPr>
            <w:tcW w:w="724" w:type="pct"/>
            <w:vAlign w:val="center"/>
          </w:tcPr>
          <w:p w14:paraId="03676C31"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55.01</w:t>
            </w:r>
          </w:p>
        </w:tc>
        <w:tc>
          <w:tcPr>
            <w:tcW w:w="654" w:type="pct"/>
            <w:vAlign w:val="center"/>
          </w:tcPr>
          <w:p w14:paraId="31AE4D59"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40,981.13</w:t>
            </w:r>
          </w:p>
        </w:tc>
        <w:tc>
          <w:tcPr>
            <w:tcW w:w="654" w:type="pct"/>
            <w:vAlign w:val="center"/>
          </w:tcPr>
          <w:p w14:paraId="06DA15FE"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20,565.01</w:t>
            </w:r>
          </w:p>
        </w:tc>
        <w:tc>
          <w:tcPr>
            <w:tcW w:w="723" w:type="pct"/>
            <w:vAlign w:val="center"/>
          </w:tcPr>
          <w:p w14:paraId="778A6FC3"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49.82</w:t>
            </w:r>
          </w:p>
        </w:tc>
      </w:tr>
      <w:tr w:rsidR="00BD3166" w14:paraId="2D500720"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935" w:type="pct"/>
            <w:vAlign w:val="center"/>
          </w:tcPr>
          <w:p w14:paraId="1B8E35A1" w14:textId="77777777" w:rsidR="00BD3166" w:rsidRDefault="00C64679" w:rsidP="00E367D8">
            <w:pPr>
              <w:widowControl/>
              <w:adjustRightInd w:val="0"/>
              <w:snapToGrid w:val="0"/>
              <w:spacing w:line="240" w:lineRule="auto"/>
              <w:jc w:val="center"/>
              <w:rPr>
                <w:snapToGrid w:val="0"/>
                <w:color w:val="auto"/>
                <w:kern w:val="0"/>
                <w:szCs w:val="16"/>
              </w:rPr>
            </w:pPr>
            <w:r>
              <w:rPr>
                <w:rFonts w:hint="eastAsia"/>
                <w:snapToGrid w:val="0"/>
                <w:kern w:val="0"/>
                <w:szCs w:val="16"/>
              </w:rPr>
              <w:t>其他业务收入</w:t>
            </w:r>
          </w:p>
        </w:tc>
        <w:tc>
          <w:tcPr>
            <w:tcW w:w="655" w:type="pct"/>
            <w:vAlign w:val="center"/>
          </w:tcPr>
          <w:p w14:paraId="39AC2107"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508.72</w:t>
            </w:r>
          </w:p>
        </w:tc>
        <w:tc>
          <w:tcPr>
            <w:tcW w:w="655" w:type="pct"/>
            <w:vAlign w:val="center"/>
          </w:tcPr>
          <w:p w14:paraId="1B7BE495"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69.82</w:t>
            </w:r>
          </w:p>
        </w:tc>
        <w:tc>
          <w:tcPr>
            <w:tcW w:w="724" w:type="pct"/>
            <w:vAlign w:val="center"/>
          </w:tcPr>
          <w:p w14:paraId="7AFCF633"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86.27</w:t>
            </w:r>
          </w:p>
        </w:tc>
        <w:tc>
          <w:tcPr>
            <w:tcW w:w="654" w:type="pct"/>
            <w:vAlign w:val="center"/>
          </w:tcPr>
          <w:p w14:paraId="557E0D12"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79.92</w:t>
            </w:r>
          </w:p>
        </w:tc>
        <w:tc>
          <w:tcPr>
            <w:tcW w:w="654" w:type="pct"/>
            <w:vAlign w:val="center"/>
          </w:tcPr>
          <w:p w14:paraId="5FC83FD5"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1.12</w:t>
            </w:r>
          </w:p>
        </w:tc>
        <w:tc>
          <w:tcPr>
            <w:tcW w:w="723" w:type="pct"/>
            <w:vAlign w:val="center"/>
          </w:tcPr>
          <w:p w14:paraId="2045B57C"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6"/>
              </w:rPr>
            </w:pPr>
            <w:r>
              <w:rPr>
                <w:snapToGrid w:val="0"/>
                <w:kern w:val="0"/>
                <w:szCs w:val="16"/>
              </w:rPr>
              <w:t>98.6</w:t>
            </w:r>
          </w:p>
        </w:tc>
      </w:tr>
      <w:tr w:rsidR="00BD3166" w14:paraId="492BDAD0"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935" w:type="pct"/>
            <w:vAlign w:val="center"/>
          </w:tcPr>
          <w:p w14:paraId="722E2F7D" w14:textId="77777777" w:rsidR="00BD3166" w:rsidRDefault="00C64679" w:rsidP="00E367D8">
            <w:pPr>
              <w:widowControl/>
              <w:adjustRightInd w:val="0"/>
              <w:snapToGrid w:val="0"/>
              <w:spacing w:line="240" w:lineRule="auto"/>
              <w:jc w:val="center"/>
              <w:rPr>
                <w:b/>
                <w:snapToGrid w:val="0"/>
                <w:color w:val="auto"/>
                <w:kern w:val="0"/>
                <w:szCs w:val="16"/>
              </w:rPr>
            </w:pPr>
            <w:r>
              <w:rPr>
                <w:rFonts w:hint="eastAsia"/>
                <w:b/>
                <w:snapToGrid w:val="0"/>
                <w:kern w:val="0"/>
                <w:szCs w:val="16"/>
              </w:rPr>
              <w:t>合计</w:t>
            </w:r>
          </w:p>
        </w:tc>
        <w:tc>
          <w:tcPr>
            <w:tcW w:w="655" w:type="pct"/>
            <w:vAlign w:val="center"/>
          </w:tcPr>
          <w:p w14:paraId="70E0B895"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snapToGrid w:val="0"/>
                <w:color w:val="auto"/>
                <w:kern w:val="0"/>
                <w:szCs w:val="16"/>
              </w:rPr>
            </w:pPr>
            <w:r>
              <w:rPr>
                <w:b/>
                <w:snapToGrid w:val="0"/>
                <w:kern w:val="0"/>
                <w:szCs w:val="16"/>
              </w:rPr>
              <w:t>36,307.21</w:t>
            </w:r>
          </w:p>
        </w:tc>
        <w:tc>
          <w:tcPr>
            <w:tcW w:w="655" w:type="pct"/>
            <w:vAlign w:val="center"/>
          </w:tcPr>
          <w:p w14:paraId="781614CD"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snapToGrid w:val="0"/>
                <w:color w:val="auto"/>
                <w:kern w:val="0"/>
                <w:szCs w:val="16"/>
              </w:rPr>
            </w:pPr>
            <w:r>
              <w:rPr>
                <w:b/>
                <w:snapToGrid w:val="0"/>
                <w:kern w:val="0"/>
                <w:szCs w:val="16"/>
              </w:rPr>
              <w:t>16,175.12</w:t>
            </w:r>
          </w:p>
        </w:tc>
        <w:tc>
          <w:tcPr>
            <w:tcW w:w="724" w:type="pct"/>
            <w:vAlign w:val="center"/>
          </w:tcPr>
          <w:p w14:paraId="0228F33D"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snapToGrid w:val="0"/>
                <w:color w:val="auto"/>
                <w:kern w:val="0"/>
                <w:szCs w:val="16"/>
              </w:rPr>
            </w:pPr>
            <w:r>
              <w:rPr>
                <w:b/>
                <w:snapToGrid w:val="0"/>
                <w:kern w:val="0"/>
                <w:szCs w:val="16"/>
              </w:rPr>
              <w:t>55.45</w:t>
            </w:r>
          </w:p>
        </w:tc>
        <w:tc>
          <w:tcPr>
            <w:tcW w:w="654" w:type="pct"/>
            <w:vAlign w:val="center"/>
          </w:tcPr>
          <w:p w14:paraId="78081AE3"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snapToGrid w:val="0"/>
                <w:color w:val="auto"/>
                <w:kern w:val="0"/>
                <w:szCs w:val="16"/>
              </w:rPr>
            </w:pPr>
            <w:r>
              <w:rPr>
                <w:b/>
                <w:snapToGrid w:val="0"/>
                <w:kern w:val="0"/>
                <w:szCs w:val="16"/>
              </w:rPr>
              <w:t>41,061.05</w:t>
            </w:r>
          </w:p>
        </w:tc>
        <w:tc>
          <w:tcPr>
            <w:tcW w:w="654" w:type="pct"/>
            <w:vAlign w:val="center"/>
          </w:tcPr>
          <w:p w14:paraId="69FC6B5A"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snapToGrid w:val="0"/>
                <w:color w:val="auto"/>
                <w:kern w:val="0"/>
                <w:szCs w:val="16"/>
              </w:rPr>
            </w:pPr>
            <w:r>
              <w:rPr>
                <w:b/>
                <w:snapToGrid w:val="0"/>
                <w:kern w:val="0"/>
                <w:szCs w:val="16"/>
              </w:rPr>
              <w:t>20,566.13</w:t>
            </w:r>
          </w:p>
        </w:tc>
        <w:tc>
          <w:tcPr>
            <w:tcW w:w="723" w:type="pct"/>
            <w:vAlign w:val="center"/>
          </w:tcPr>
          <w:p w14:paraId="13AF5A67"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snapToGrid w:val="0"/>
                <w:color w:val="auto"/>
                <w:kern w:val="0"/>
                <w:szCs w:val="16"/>
              </w:rPr>
            </w:pPr>
            <w:r>
              <w:rPr>
                <w:b/>
                <w:snapToGrid w:val="0"/>
                <w:kern w:val="0"/>
                <w:szCs w:val="16"/>
              </w:rPr>
              <w:t>49.91</w:t>
            </w:r>
          </w:p>
        </w:tc>
      </w:tr>
    </w:tbl>
    <w:p w14:paraId="32763CA6"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安全芯片设计业务</w:t>
      </w:r>
      <w:r>
        <w:rPr>
          <w:rFonts w:ascii="Times New Roman" w:hAnsi="Times New Roman" w:cs="Times New Roman"/>
          <w:sz w:val="24"/>
        </w:rPr>
        <w:t>中，报告期内大唐微电子实现对外销售的主要产品营收情况如下：</w:t>
      </w:r>
    </w:p>
    <w:p w14:paraId="7D017309" w14:textId="77777777" w:rsidR="00BD3166" w:rsidRDefault="00C64679">
      <w:pPr>
        <w:ind w:firstLineChars="200" w:firstLine="420"/>
        <w:jc w:val="right"/>
        <w:rPr>
          <w:rFonts w:ascii="Times New Roman" w:hAnsi="Times New Roman" w:cs="Times New Roman"/>
        </w:rPr>
      </w:pPr>
      <w:r>
        <w:rPr>
          <w:rFonts w:ascii="Times New Roman" w:hAnsi="Times New Roman" w:cs="Times New Roman" w:hint="eastAsia"/>
        </w:rPr>
        <w:t>单位：万元</w:t>
      </w:r>
    </w:p>
    <w:tbl>
      <w:tblPr>
        <w:tblStyle w:val="ab"/>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1"/>
        <w:gridCol w:w="2744"/>
      </w:tblGrid>
      <w:tr w:rsidR="00BD3166" w14:paraId="6EBB98B3" w14:textId="77777777">
        <w:trPr>
          <w:cnfStyle w:val="100000000000" w:firstRow="1" w:lastRow="0" w:firstColumn="0" w:lastColumn="0" w:oddVBand="0" w:evenVBand="0" w:oddHBand="0" w:evenHBand="0" w:firstRowFirstColumn="0" w:firstRowLastColumn="0" w:lastRowFirstColumn="0" w:lastRowLastColumn="0"/>
          <w:trHeight w:val="397"/>
          <w:tblHeader/>
          <w:jc w:val="center"/>
        </w:trPr>
        <w:tc>
          <w:tcPr>
            <w:cnfStyle w:val="001000000100" w:firstRow="0" w:lastRow="0" w:firstColumn="1" w:lastColumn="0" w:oddVBand="0" w:evenVBand="0" w:oddHBand="0" w:evenHBand="0" w:firstRowFirstColumn="1" w:firstRowLastColumn="0" w:lastRowFirstColumn="0" w:lastRowLastColumn="0"/>
            <w:tcW w:w="1893" w:type="pct"/>
            <w:vAlign w:val="center"/>
          </w:tcPr>
          <w:p w14:paraId="3BA70C18" w14:textId="77777777" w:rsidR="00BD3166" w:rsidRDefault="00C64679" w:rsidP="00E367D8">
            <w:pPr>
              <w:widowControl/>
              <w:spacing w:line="240" w:lineRule="auto"/>
              <w:jc w:val="center"/>
              <w:rPr>
                <w:b/>
                <w:kern w:val="0"/>
                <w:szCs w:val="24"/>
              </w:rPr>
            </w:pPr>
            <w:r>
              <w:rPr>
                <w:b/>
                <w:kern w:val="0"/>
                <w:szCs w:val="24"/>
              </w:rPr>
              <w:t>产品类别</w:t>
            </w:r>
          </w:p>
        </w:tc>
        <w:tc>
          <w:tcPr>
            <w:tcW w:w="1497" w:type="pct"/>
            <w:vAlign w:val="center"/>
          </w:tcPr>
          <w:p w14:paraId="1287B6E2" w14:textId="77777777" w:rsidR="00BD3166" w:rsidRDefault="00C64679" w:rsidP="00E367D8">
            <w:pPr>
              <w:widowControl/>
              <w:spacing w:line="240" w:lineRule="auto"/>
              <w:jc w:val="center"/>
              <w:cnfStyle w:val="100000000000" w:firstRow="1" w:lastRow="0" w:firstColumn="0" w:lastColumn="0" w:oddVBand="0" w:evenVBand="0" w:oddHBand="0" w:evenHBand="0" w:firstRowFirstColumn="0" w:firstRowLastColumn="0" w:lastRowFirstColumn="0" w:lastRowLastColumn="0"/>
              <w:rPr>
                <w:b/>
                <w:kern w:val="0"/>
                <w:szCs w:val="16"/>
              </w:rPr>
            </w:pPr>
            <w:r>
              <w:rPr>
                <w:b/>
                <w:kern w:val="0"/>
                <w:szCs w:val="16"/>
              </w:rPr>
              <w:t>2020</w:t>
            </w:r>
            <w:r>
              <w:rPr>
                <w:b/>
                <w:kern w:val="0"/>
                <w:szCs w:val="16"/>
              </w:rPr>
              <w:t>年度</w:t>
            </w:r>
          </w:p>
        </w:tc>
        <w:tc>
          <w:tcPr>
            <w:tcW w:w="1610" w:type="pct"/>
            <w:vAlign w:val="center"/>
          </w:tcPr>
          <w:p w14:paraId="7B7FBE7C" w14:textId="77777777" w:rsidR="00BD3166" w:rsidRDefault="00C64679" w:rsidP="00E367D8">
            <w:pPr>
              <w:widowControl/>
              <w:spacing w:line="240" w:lineRule="auto"/>
              <w:jc w:val="center"/>
              <w:cnfStyle w:val="100000000000" w:firstRow="1" w:lastRow="0" w:firstColumn="0" w:lastColumn="0" w:oddVBand="0" w:evenVBand="0" w:oddHBand="0" w:evenHBand="0" w:firstRowFirstColumn="0" w:firstRowLastColumn="0" w:lastRowFirstColumn="0" w:lastRowLastColumn="0"/>
              <w:rPr>
                <w:b/>
                <w:kern w:val="0"/>
                <w:szCs w:val="16"/>
              </w:rPr>
            </w:pPr>
            <w:r>
              <w:rPr>
                <w:b/>
                <w:kern w:val="0"/>
                <w:szCs w:val="16"/>
              </w:rPr>
              <w:t>2019</w:t>
            </w:r>
            <w:r>
              <w:rPr>
                <w:b/>
                <w:kern w:val="0"/>
                <w:szCs w:val="16"/>
              </w:rPr>
              <w:t>年度</w:t>
            </w:r>
          </w:p>
        </w:tc>
      </w:tr>
      <w:tr w:rsidR="00BD3166" w14:paraId="1B2AED7F"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1893" w:type="pct"/>
            <w:vAlign w:val="center"/>
          </w:tcPr>
          <w:p w14:paraId="2DDDFC65" w14:textId="77777777" w:rsidR="00BD3166" w:rsidRDefault="00C64679" w:rsidP="00E367D8">
            <w:pPr>
              <w:widowControl/>
              <w:spacing w:line="240" w:lineRule="auto"/>
              <w:jc w:val="left"/>
              <w:rPr>
                <w:kern w:val="0"/>
                <w:szCs w:val="20"/>
              </w:rPr>
            </w:pPr>
            <w:r>
              <w:rPr>
                <w:kern w:val="0"/>
                <w:szCs w:val="20"/>
              </w:rPr>
              <w:t>二代身份证芯片</w:t>
            </w:r>
          </w:p>
        </w:tc>
        <w:tc>
          <w:tcPr>
            <w:tcW w:w="1497" w:type="pct"/>
            <w:vAlign w:val="center"/>
          </w:tcPr>
          <w:p w14:paraId="382881CA"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0"/>
              </w:rPr>
            </w:pPr>
            <w:r>
              <w:rPr>
                <w:kern w:val="0"/>
                <w:szCs w:val="20"/>
              </w:rPr>
              <w:t>16,608.51</w:t>
            </w:r>
          </w:p>
        </w:tc>
        <w:tc>
          <w:tcPr>
            <w:tcW w:w="1610" w:type="pct"/>
            <w:vAlign w:val="center"/>
          </w:tcPr>
          <w:p w14:paraId="0507E6B9"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0"/>
              </w:rPr>
            </w:pPr>
            <w:r>
              <w:rPr>
                <w:kern w:val="0"/>
                <w:szCs w:val="20"/>
              </w:rPr>
              <w:t>16,393.66</w:t>
            </w:r>
          </w:p>
        </w:tc>
      </w:tr>
      <w:tr w:rsidR="00BD3166" w14:paraId="20134FA1"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1893" w:type="pct"/>
            <w:vAlign w:val="center"/>
          </w:tcPr>
          <w:p w14:paraId="58E5F402" w14:textId="77777777" w:rsidR="00BD3166" w:rsidRDefault="00C64679" w:rsidP="00E367D8">
            <w:pPr>
              <w:widowControl/>
              <w:spacing w:line="240" w:lineRule="auto"/>
              <w:jc w:val="left"/>
              <w:rPr>
                <w:kern w:val="0"/>
                <w:szCs w:val="20"/>
              </w:rPr>
            </w:pPr>
            <w:r>
              <w:rPr>
                <w:kern w:val="0"/>
                <w:szCs w:val="20"/>
              </w:rPr>
              <w:t>金融</w:t>
            </w:r>
            <w:r>
              <w:rPr>
                <w:kern w:val="0"/>
                <w:szCs w:val="20"/>
              </w:rPr>
              <w:t>IC</w:t>
            </w:r>
            <w:r>
              <w:rPr>
                <w:kern w:val="0"/>
                <w:szCs w:val="20"/>
              </w:rPr>
              <w:t>卡</w:t>
            </w:r>
          </w:p>
        </w:tc>
        <w:tc>
          <w:tcPr>
            <w:tcW w:w="1497" w:type="pct"/>
            <w:vAlign w:val="center"/>
          </w:tcPr>
          <w:p w14:paraId="08CEC686"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0"/>
              </w:rPr>
            </w:pPr>
            <w:r>
              <w:rPr>
                <w:kern w:val="0"/>
                <w:szCs w:val="20"/>
              </w:rPr>
              <w:t>5,333.52</w:t>
            </w:r>
          </w:p>
        </w:tc>
        <w:tc>
          <w:tcPr>
            <w:tcW w:w="1610" w:type="pct"/>
            <w:vAlign w:val="center"/>
          </w:tcPr>
          <w:p w14:paraId="7FA2B554"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0"/>
              </w:rPr>
            </w:pPr>
            <w:r>
              <w:rPr>
                <w:kern w:val="0"/>
                <w:szCs w:val="20"/>
              </w:rPr>
              <w:t>3,847.25</w:t>
            </w:r>
          </w:p>
        </w:tc>
      </w:tr>
      <w:tr w:rsidR="00BD3166" w14:paraId="62DB6844"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1893" w:type="pct"/>
            <w:vAlign w:val="center"/>
          </w:tcPr>
          <w:p w14:paraId="1FE28D8F" w14:textId="77777777" w:rsidR="00BD3166" w:rsidRDefault="00C64679" w:rsidP="00E367D8">
            <w:pPr>
              <w:widowControl/>
              <w:spacing w:line="240" w:lineRule="auto"/>
              <w:jc w:val="left"/>
              <w:rPr>
                <w:kern w:val="0"/>
                <w:szCs w:val="20"/>
              </w:rPr>
            </w:pPr>
            <w:r>
              <w:rPr>
                <w:kern w:val="0"/>
                <w:szCs w:val="20"/>
              </w:rPr>
              <w:t>二代社保卡模块</w:t>
            </w:r>
          </w:p>
        </w:tc>
        <w:tc>
          <w:tcPr>
            <w:tcW w:w="1497" w:type="pct"/>
            <w:vAlign w:val="center"/>
          </w:tcPr>
          <w:p w14:paraId="515D7805"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0"/>
              </w:rPr>
            </w:pPr>
            <w:r>
              <w:rPr>
                <w:kern w:val="0"/>
                <w:szCs w:val="20"/>
              </w:rPr>
              <w:t>4,844.35</w:t>
            </w:r>
          </w:p>
        </w:tc>
        <w:tc>
          <w:tcPr>
            <w:tcW w:w="1610" w:type="pct"/>
            <w:vAlign w:val="center"/>
          </w:tcPr>
          <w:p w14:paraId="09D24630"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0"/>
              </w:rPr>
            </w:pPr>
            <w:r>
              <w:rPr>
                <w:kern w:val="0"/>
                <w:szCs w:val="20"/>
              </w:rPr>
              <w:t>10,705.50</w:t>
            </w:r>
          </w:p>
        </w:tc>
      </w:tr>
      <w:tr w:rsidR="00BD3166" w14:paraId="370EE9E7"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1893" w:type="pct"/>
            <w:vAlign w:val="center"/>
          </w:tcPr>
          <w:p w14:paraId="163BE7D3" w14:textId="77777777" w:rsidR="00BD3166" w:rsidRDefault="00C64679" w:rsidP="00E367D8">
            <w:pPr>
              <w:widowControl/>
              <w:spacing w:line="240" w:lineRule="auto"/>
              <w:jc w:val="left"/>
              <w:rPr>
                <w:kern w:val="0"/>
                <w:szCs w:val="20"/>
              </w:rPr>
            </w:pPr>
            <w:r>
              <w:rPr>
                <w:kern w:val="0"/>
                <w:szCs w:val="20"/>
              </w:rPr>
              <w:t>三代社保卡模块</w:t>
            </w:r>
          </w:p>
        </w:tc>
        <w:tc>
          <w:tcPr>
            <w:tcW w:w="1497" w:type="pct"/>
            <w:vAlign w:val="center"/>
          </w:tcPr>
          <w:p w14:paraId="13394B71"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0"/>
              </w:rPr>
            </w:pPr>
            <w:r>
              <w:rPr>
                <w:kern w:val="0"/>
                <w:szCs w:val="20"/>
              </w:rPr>
              <w:t>1,943.40</w:t>
            </w:r>
          </w:p>
        </w:tc>
        <w:tc>
          <w:tcPr>
            <w:tcW w:w="1610" w:type="pct"/>
            <w:vAlign w:val="center"/>
          </w:tcPr>
          <w:p w14:paraId="180FF3F6"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kern w:val="0"/>
                <w:szCs w:val="20"/>
              </w:rPr>
            </w:pPr>
            <w:r>
              <w:rPr>
                <w:kern w:val="0"/>
                <w:szCs w:val="20"/>
              </w:rPr>
              <w:t>1,073.56</w:t>
            </w:r>
          </w:p>
        </w:tc>
      </w:tr>
      <w:tr w:rsidR="00BD3166" w14:paraId="70B52DF8"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1893" w:type="pct"/>
            <w:vAlign w:val="center"/>
          </w:tcPr>
          <w:p w14:paraId="52300BF9" w14:textId="77777777" w:rsidR="00BD3166" w:rsidRDefault="00C64679" w:rsidP="00E367D8">
            <w:pPr>
              <w:widowControl/>
              <w:spacing w:line="240" w:lineRule="auto"/>
              <w:jc w:val="center"/>
              <w:rPr>
                <w:b/>
                <w:kern w:val="0"/>
                <w:szCs w:val="20"/>
              </w:rPr>
            </w:pPr>
            <w:r>
              <w:rPr>
                <w:b/>
                <w:kern w:val="0"/>
                <w:szCs w:val="20"/>
              </w:rPr>
              <w:t>合计</w:t>
            </w:r>
          </w:p>
        </w:tc>
        <w:tc>
          <w:tcPr>
            <w:tcW w:w="1497" w:type="pct"/>
            <w:vAlign w:val="center"/>
          </w:tcPr>
          <w:p w14:paraId="18482D1F"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b/>
                <w:kern w:val="0"/>
                <w:szCs w:val="24"/>
              </w:rPr>
            </w:pPr>
            <w:r>
              <w:rPr>
                <w:b/>
                <w:kern w:val="0"/>
                <w:szCs w:val="24"/>
              </w:rPr>
              <w:t>28,729.79</w:t>
            </w:r>
          </w:p>
        </w:tc>
        <w:tc>
          <w:tcPr>
            <w:tcW w:w="1610" w:type="pct"/>
            <w:vAlign w:val="center"/>
          </w:tcPr>
          <w:p w14:paraId="23F7B3B0" w14:textId="77777777" w:rsidR="00BD3166" w:rsidRDefault="00C64679">
            <w:pPr>
              <w:widowControl/>
              <w:jc w:val="right"/>
              <w:cnfStyle w:val="000000000000" w:firstRow="0" w:lastRow="0" w:firstColumn="0" w:lastColumn="0" w:oddVBand="0" w:evenVBand="0" w:oddHBand="0" w:evenHBand="0" w:firstRowFirstColumn="0" w:firstRowLastColumn="0" w:lastRowFirstColumn="0" w:lastRowLastColumn="0"/>
              <w:rPr>
                <w:b/>
                <w:kern w:val="0"/>
                <w:szCs w:val="24"/>
              </w:rPr>
            </w:pPr>
            <w:r>
              <w:rPr>
                <w:b/>
                <w:kern w:val="0"/>
                <w:szCs w:val="24"/>
              </w:rPr>
              <w:t>32,019.97</w:t>
            </w:r>
          </w:p>
        </w:tc>
      </w:tr>
    </w:tbl>
    <w:p w14:paraId="71B1646C"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报告期内，大唐微电子营业收入减少</w:t>
      </w:r>
      <w:r>
        <w:rPr>
          <w:rFonts w:ascii="Times New Roman" w:hAnsi="Times New Roman" w:cs="Times New Roman" w:hint="eastAsia"/>
          <w:sz w:val="24"/>
        </w:rPr>
        <w:t>4,753.84</w:t>
      </w:r>
      <w:r>
        <w:rPr>
          <w:rFonts w:ascii="Times New Roman" w:hAnsi="Times New Roman" w:cs="Times New Roman" w:hint="eastAsia"/>
          <w:sz w:val="24"/>
        </w:rPr>
        <w:t>万元，主要原因为由于二代社保卡更新迭代，市场竞争日益激烈，三代社保卡尚未得到全面普及，大唐微电子社保卡模块收入较同期有所减少。大唐微电子营业成本减少</w:t>
      </w:r>
      <w:r>
        <w:rPr>
          <w:rFonts w:ascii="Times New Roman" w:hAnsi="Times New Roman" w:cs="Times New Roman" w:hint="eastAsia"/>
          <w:sz w:val="24"/>
        </w:rPr>
        <w:t>4,391.01</w:t>
      </w:r>
      <w:r>
        <w:rPr>
          <w:rFonts w:ascii="Times New Roman" w:hAnsi="Times New Roman" w:cs="Times New Roman" w:hint="eastAsia"/>
          <w:sz w:val="24"/>
        </w:rPr>
        <w:t>万元，毛利率上升</w:t>
      </w:r>
      <w:r>
        <w:rPr>
          <w:rFonts w:ascii="Times New Roman" w:hAnsi="Times New Roman" w:cs="Times New Roman" w:hint="eastAsia"/>
          <w:sz w:val="24"/>
        </w:rPr>
        <w:t>5.54%</w:t>
      </w:r>
      <w:r>
        <w:rPr>
          <w:rFonts w:ascii="Times New Roman" w:hAnsi="Times New Roman" w:cs="Times New Roman" w:hint="eastAsia"/>
          <w:sz w:val="24"/>
        </w:rPr>
        <w:t>，</w:t>
      </w:r>
      <w:proofErr w:type="gramStart"/>
      <w:r>
        <w:rPr>
          <w:rFonts w:ascii="Times New Roman" w:hAnsi="Times New Roman" w:cs="Times New Roman" w:hint="eastAsia"/>
          <w:sz w:val="24"/>
        </w:rPr>
        <w:t>主要系社保卡</w:t>
      </w:r>
      <w:proofErr w:type="gramEnd"/>
      <w:r>
        <w:rPr>
          <w:rFonts w:ascii="Times New Roman" w:hAnsi="Times New Roman" w:cs="Times New Roman" w:hint="eastAsia"/>
          <w:sz w:val="24"/>
        </w:rPr>
        <w:t>芯片的毛利率低于二代身份证模块，</w:t>
      </w:r>
      <w:r>
        <w:rPr>
          <w:rFonts w:ascii="Times New Roman" w:hAnsi="Times New Roman" w:cs="Times New Roman" w:hint="eastAsia"/>
          <w:sz w:val="24"/>
        </w:rPr>
        <w:t>2020</w:t>
      </w:r>
      <w:r>
        <w:rPr>
          <w:rFonts w:ascii="Times New Roman" w:hAnsi="Times New Roman" w:cs="Times New Roman" w:hint="eastAsia"/>
          <w:sz w:val="24"/>
        </w:rPr>
        <w:t>年度社保卡模块收入减少导致</w:t>
      </w:r>
      <w:r>
        <w:rPr>
          <w:rFonts w:ascii="Times New Roman" w:hAnsi="Times New Roman" w:cs="Times New Roman" w:hint="eastAsia"/>
          <w:sz w:val="24"/>
        </w:rPr>
        <w:t>2020</w:t>
      </w:r>
      <w:r>
        <w:rPr>
          <w:rFonts w:ascii="Times New Roman" w:hAnsi="Times New Roman" w:cs="Times New Roman" w:hint="eastAsia"/>
          <w:sz w:val="24"/>
        </w:rPr>
        <w:t>年度大唐微电子毛利率略微增长。</w:t>
      </w:r>
    </w:p>
    <w:p w14:paraId="3D6681A4" w14:textId="77777777" w:rsidR="00BD3166" w:rsidRDefault="00C64679">
      <w:pPr>
        <w:spacing w:beforeLines="50" w:before="156" w:afterLines="50" w:after="156" w:line="360" w:lineRule="auto"/>
        <w:ind w:firstLineChars="200" w:firstLine="482"/>
        <w:outlineLvl w:val="2"/>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lastRenderedPageBreak/>
        <w:t>（二）并结合主营业务变化情况，分别说明经营活动现金流净额下降、投资活动现金净流出大幅增加的原因及合理性</w:t>
      </w:r>
    </w:p>
    <w:p w14:paraId="2088348A"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报告期内，大唐微电子经营活动产生的现金流量净额下降</w:t>
      </w:r>
      <w:r>
        <w:rPr>
          <w:rFonts w:ascii="Times New Roman" w:hAnsi="Times New Roman" w:cs="Times New Roman" w:hint="eastAsia"/>
          <w:sz w:val="24"/>
        </w:rPr>
        <w:t>4,939.18</w:t>
      </w:r>
      <w:r>
        <w:rPr>
          <w:rFonts w:ascii="Times New Roman" w:hAnsi="Times New Roman" w:cs="Times New Roman" w:hint="eastAsia"/>
          <w:sz w:val="24"/>
        </w:rPr>
        <w:t>万元，具体分项的变化情况如下表所示：</w:t>
      </w:r>
    </w:p>
    <w:p w14:paraId="2454624F" w14:textId="77777777" w:rsidR="00BD3166" w:rsidRDefault="00C64679">
      <w:pPr>
        <w:ind w:firstLineChars="200" w:firstLine="420"/>
        <w:jc w:val="right"/>
        <w:rPr>
          <w:rFonts w:ascii="Times New Roman" w:hAnsi="Times New Roman" w:cs="Times New Roman"/>
        </w:rPr>
      </w:pPr>
      <w:r>
        <w:rPr>
          <w:rFonts w:ascii="Times New Roman" w:hAnsi="Times New Roman" w:cs="Times New Roman" w:hint="eastAsia"/>
        </w:rPr>
        <w:t>单位：万元</w:t>
      </w:r>
    </w:p>
    <w:tbl>
      <w:tblPr>
        <w:tblStyle w:val="ab"/>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70" w:type="dxa"/>
          <w:bottom w:w="20" w:type="dxa"/>
          <w:right w:w="70" w:type="dxa"/>
        </w:tblCellMar>
        <w:tblLook w:val="04A0" w:firstRow="1" w:lastRow="0" w:firstColumn="1" w:lastColumn="0" w:noHBand="0" w:noVBand="1"/>
      </w:tblPr>
      <w:tblGrid>
        <w:gridCol w:w="4334"/>
        <w:gridCol w:w="1363"/>
        <w:gridCol w:w="1363"/>
        <w:gridCol w:w="1383"/>
      </w:tblGrid>
      <w:tr w:rsidR="00BD3166" w14:paraId="1F850F99" w14:textId="77777777" w:rsidTr="00E367D8">
        <w:trPr>
          <w:cnfStyle w:val="100000000000" w:firstRow="1" w:lastRow="0" w:firstColumn="0" w:lastColumn="0" w:oddVBand="0" w:evenVBand="0" w:oddHBand="0" w:evenHBand="0" w:firstRowFirstColumn="0" w:firstRowLastColumn="0" w:lastRowFirstColumn="0" w:lastRowLastColumn="0"/>
          <w:cantSplit/>
          <w:trHeight w:val="454"/>
        </w:trPr>
        <w:tc>
          <w:tcPr>
            <w:cnfStyle w:val="001000000100" w:firstRow="0" w:lastRow="0" w:firstColumn="1" w:lastColumn="0" w:oddVBand="0" w:evenVBand="0" w:oddHBand="0" w:evenHBand="0" w:firstRowFirstColumn="1" w:firstRowLastColumn="0" w:lastRowFirstColumn="0" w:lastRowLastColumn="0"/>
            <w:tcW w:w="2566" w:type="pct"/>
            <w:vAlign w:val="center"/>
          </w:tcPr>
          <w:p w14:paraId="544C31D0" w14:textId="77777777" w:rsidR="00BD3166" w:rsidRDefault="00C64679" w:rsidP="00E367D8">
            <w:pPr>
              <w:widowControl/>
              <w:adjustRightInd w:val="0"/>
              <w:snapToGrid w:val="0"/>
              <w:spacing w:line="240" w:lineRule="auto"/>
              <w:jc w:val="center"/>
              <w:rPr>
                <w:b/>
                <w:snapToGrid w:val="0"/>
                <w:color w:val="auto"/>
                <w:kern w:val="0"/>
                <w:szCs w:val="18"/>
              </w:rPr>
            </w:pPr>
            <w:r>
              <w:rPr>
                <w:rFonts w:hint="eastAsia"/>
                <w:b/>
                <w:snapToGrid w:val="0"/>
                <w:kern w:val="0"/>
                <w:szCs w:val="18"/>
              </w:rPr>
              <w:t>项目</w:t>
            </w:r>
          </w:p>
        </w:tc>
        <w:tc>
          <w:tcPr>
            <w:tcW w:w="807" w:type="pct"/>
            <w:vAlign w:val="center"/>
          </w:tcPr>
          <w:p w14:paraId="0A1FCC7C" w14:textId="77777777" w:rsidR="00BD3166" w:rsidRDefault="00C64679" w:rsidP="00E367D8">
            <w:pPr>
              <w:widowControl/>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2020</w:t>
            </w:r>
            <w:r>
              <w:rPr>
                <w:rFonts w:hint="eastAsia"/>
                <w:b/>
                <w:snapToGrid w:val="0"/>
                <w:kern w:val="0"/>
                <w:szCs w:val="18"/>
              </w:rPr>
              <w:t>年度</w:t>
            </w:r>
          </w:p>
        </w:tc>
        <w:tc>
          <w:tcPr>
            <w:tcW w:w="807" w:type="pct"/>
            <w:vAlign w:val="center"/>
          </w:tcPr>
          <w:p w14:paraId="00F47550" w14:textId="77777777" w:rsidR="00BD3166" w:rsidRDefault="00C64679" w:rsidP="00E367D8">
            <w:pPr>
              <w:widowControl/>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2019</w:t>
            </w:r>
            <w:r>
              <w:rPr>
                <w:rFonts w:hint="eastAsia"/>
                <w:b/>
                <w:snapToGrid w:val="0"/>
                <w:kern w:val="0"/>
                <w:szCs w:val="18"/>
              </w:rPr>
              <w:t>年度</w:t>
            </w:r>
          </w:p>
        </w:tc>
        <w:tc>
          <w:tcPr>
            <w:tcW w:w="819" w:type="pct"/>
            <w:vAlign w:val="center"/>
          </w:tcPr>
          <w:p w14:paraId="3D451D62" w14:textId="77777777" w:rsidR="00BD3166" w:rsidRDefault="00C64679" w:rsidP="00E367D8">
            <w:pPr>
              <w:widowControl/>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18"/>
              </w:rPr>
            </w:pPr>
            <w:r>
              <w:rPr>
                <w:rFonts w:hint="eastAsia"/>
                <w:b/>
                <w:snapToGrid w:val="0"/>
                <w:kern w:val="0"/>
                <w:szCs w:val="18"/>
              </w:rPr>
              <w:t>增减金额</w:t>
            </w:r>
          </w:p>
        </w:tc>
      </w:tr>
      <w:tr w:rsidR="00BD3166" w14:paraId="35DCAC80"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566" w:type="pct"/>
            <w:vAlign w:val="center"/>
          </w:tcPr>
          <w:p w14:paraId="4EB41B1A" w14:textId="77777777" w:rsidR="00BD3166" w:rsidRDefault="00C64679" w:rsidP="00E367D8">
            <w:pPr>
              <w:widowControl/>
              <w:adjustRightInd w:val="0"/>
              <w:snapToGrid w:val="0"/>
              <w:spacing w:line="240" w:lineRule="auto"/>
              <w:rPr>
                <w:snapToGrid w:val="0"/>
                <w:color w:val="auto"/>
                <w:kern w:val="0"/>
                <w:szCs w:val="18"/>
              </w:rPr>
            </w:pPr>
            <w:r>
              <w:rPr>
                <w:rFonts w:hint="eastAsia"/>
                <w:snapToGrid w:val="0"/>
                <w:kern w:val="0"/>
                <w:szCs w:val="18"/>
              </w:rPr>
              <w:t>销售商品、提供劳务收到的现金</w:t>
            </w:r>
          </w:p>
        </w:tc>
        <w:tc>
          <w:tcPr>
            <w:tcW w:w="807" w:type="pct"/>
            <w:vAlign w:val="center"/>
          </w:tcPr>
          <w:p w14:paraId="6E8088F6"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37,791.26</w:t>
            </w:r>
          </w:p>
        </w:tc>
        <w:tc>
          <w:tcPr>
            <w:tcW w:w="807" w:type="pct"/>
            <w:vAlign w:val="center"/>
          </w:tcPr>
          <w:p w14:paraId="5413415F"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55,740.89</w:t>
            </w:r>
          </w:p>
        </w:tc>
        <w:tc>
          <w:tcPr>
            <w:tcW w:w="819" w:type="pct"/>
            <w:vAlign w:val="center"/>
          </w:tcPr>
          <w:p w14:paraId="01BFCB08"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-17,949.63</w:t>
            </w:r>
          </w:p>
        </w:tc>
      </w:tr>
      <w:tr w:rsidR="00BD3166" w14:paraId="4F6E74FB"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566" w:type="pct"/>
            <w:vAlign w:val="center"/>
          </w:tcPr>
          <w:p w14:paraId="6DD285FD" w14:textId="77777777" w:rsidR="00BD3166" w:rsidRDefault="00C64679" w:rsidP="00E367D8">
            <w:pPr>
              <w:widowControl/>
              <w:adjustRightInd w:val="0"/>
              <w:snapToGrid w:val="0"/>
              <w:spacing w:line="240" w:lineRule="auto"/>
              <w:rPr>
                <w:snapToGrid w:val="0"/>
                <w:color w:val="auto"/>
                <w:kern w:val="0"/>
                <w:szCs w:val="18"/>
              </w:rPr>
            </w:pPr>
            <w:r>
              <w:rPr>
                <w:rFonts w:hint="eastAsia"/>
                <w:snapToGrid w:val="0"/>
                <w:kern w:val="0"/>
                <w:szCs w:val="18"/>
              </w:rPr>
              <w:t>收到的税费返还</w:t>
            </w:r>
          </w:p>
        </w:tc>
        <w:tc>
          <w:tcPr>
            <w:tcW w:w="807" w:type="pct"/>
            <w:vAlign w:val="center"/>
          </w:tcPr>
          <w:p w14:paraId="406B236F"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color w:val="auto"/>
                <w:kern w:val="0"/>
                <w:szCs w:val="18"/>
              </w:rPr>
              <w:t>-</w:t>
            </w:r>
          </w:p>
        </w:tc>
        <w:tc>
          <w:tcPr>
            <w:tcW w:w="807" w:type="pct"/>
            <w:vAlign w:val="center"/>
          </w:tcPr>
          <w:p w14:paraId="693B4226"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618.47</w:t>
            </w:r>
          </w:p>
        </w:tc>
        <w:tc>
          <w:tcPr>
            <w:tcW w:w="819" w:type="pct"/>
            <w:vAlign w:val="center"/>
          </w:tcPr>
          <w:p w14:paraId="21658A11"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-618.47</w:t>
            </w:r>
          </w:p>
        </w:tc>
      </w:tr>
      <w:tr w:rsidR="00BD3166" w14:paraId="33DA2E37"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566" w:type="pct"/>
            <w:vAlign w:val="center"/>
          </w:tcPr>
          <w:p w14:paraId="5B8AB3F9" w14:textId="77777777" w:rsidR="00BD3166" w:rsidRDefault="00C64679" w:rsidP="00E367D8">
            <w:pPr>
              <w:widowControl/>
              <w:adjustRightInd w:val="0"/>
              <w:snapToGrid w:val="0"/>
              <w:spacing w:line="240" w:lineRule="auto"/>
              <w:rPr>
                <w:snapToGrid w:val="0"/>
                <w:color w:val="auto"/>
                <w:kern w:val="0"/>
                <w:szCs w:val="18"/>
              </w:rPr>
            </w:pPr>
            <w:r>
              <w:rPr>
                <w:rFonts w:hint="eastAsia"/>
                <w:snapToGrid w:val="0"/>
                <w:kern w:val="0"/>
                <w:szCs w:val="18"/>
              </w:rPr>
              <w:t>收到其他与经营活动有关的现金</w:t>
            </w:r>
          </w:p>
        </w:tc>
        <w:tc>
          <w:tcPr>
            <w:tcW w:w="807" w:type="pct"/>
            <w:vAlign w:val="center"/>
          </w:tcPr>
          <w:p w14:paraId="73273BC9"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1,250.83</w:t>
            </w:r>
          </w:p>
        </w:tc>
        <w:tc>
          <w:tcPr>
            <w:tcW w:w="807" w:type="pct"/>
            <w:vAlign w:val="center"/>
          </w:tcPr>
          <w:p w14:paraId="432D702D"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242.24</w:t>
            </w:r>
          </w:p>
        </w:tc>
        <w:tc>
          <w:tcPr>
            <w:tcW w:w="819" w:type="pct"/>
            <w:vAlign w:val="center"/>
          </w:tcPr>
          <w:p w14:paraId="41354663"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1,008.59</w:t>
            </w:r>
          </w:p>
        </w:tc>
      </w:tr>
      <w:tr w:rsidR="00BD3166" w14:paraId="0BAC113B"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566" w:type="pct"/>
            <w:vAlign w:val="center"/>
          </w:tcPr>
          <w:p w14:paraId="542BBD2F" w14:textId="77777777" w:rsidR="00BD3166" w:rsidRDefault="00C64679" w:rsidP="00E367D8">
            <w:pPr>
              <w:widowControl/>
              <w:adjustRightInd w:val="0"/>
              <w:snapToGrid w:val="0"/>
              <w:spacing w:line="240" w:lineRule="auto"/>
              <w:rPr>
                <w:b/>
                <w:snapToGrid w:val="0"/>
                <w:color w:val="auto"/>
                <w:kern w:val="0"/>
                <w:szCs w:val="18"/>
              </w:rPr>
            </w:pPr>
            <w:r>
              <w:rPr>
                <w:rFonts w:hint="eastAsia"/>
                <w:b/>
                <w:snapToGrid w:val="0"/>
                <w:kern w:val="0"/>
                <w:szCs w:val="18"/>
              </w:rPr>
              <w:t>经营活动现金流入小计</w:t>
            </w:r>
          </w:p>
        </w:tc>
        <w:tc>
          <w:tcPr>
            <w:tcW w:w="807" w:type="pct"/>
            <w:vAlign w:val="center"/>
          </w:tcPr>
          <w:p w14:paraId="2D059FAC"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39,042.10</w:t>
            </w:r>
          </w:p>
        </w:tc>
        <w:tc>
          <w:tcPr>
            <w:tcW w:w="807" w:type="pct"/>
            <w:vAlign w:val="center"/>
          </w:tcPr>
          <w:p w14:paraId="4BCB5D07"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56,601.60</w:t>
            </w:r>
          </w:p>
        </w:tc>
        <w:tc>
          <w:tcPr>
            <w:tcW w:w="819" w:type="pct"/>
            <w:vAlign w:val="center"/>
          </w:tcPr>
          <w:p w14:paraId="53BCC3B0"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-17,559.50</w:t>
            </w:r>
          </w:p>
        </w:tc>
      </w:tr>
      <w:tr w:rsidR="00BD3166" w14:paraId="28A132AD"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566" w:type="pct"/>
            <w:vAlign w:val="center"/>
          </w:tcPr>
          <w:p w14:paraId="631DB330" w14:textId="77777777" w:rsidR="00BD3166" w:rsidRDefault="00C64679" w:rsidP="00E367D8">
            <w:pPr>
              <w:widowControl/>
              <w:adjustRightInd w:val="0"/>
              <w:snapToGrid w:val="0"/>
              <w:spacing w:line="240" w:lineRule="auto"/>
              <w:rPr>
                <w:snapToGrid w:val="0"/>
                <w:color w:val="auto"/>
                <w:kern w:val="0"/>
                <w:szCs w:val="18"/>
              </w:rPr>
            </w:pPr>
            <w:r>
              <w:rPr>
                <w:rFonts w:hint="eastAsia"/>
                <w:snapToGrid w:val="0"/>
                <w:kern w:val="0"/>
                <w:szCs w:val="18"/>
              </w:rPr>
              <w:t>购买商品、接受劳务支付的现金</w:t>
            </w:r>
          </w:p>
        </w:tc>
        <w:tc>
          <w:tcPr>
            <w:tcW w:w="807" w:type="pct"/>
            <w:vAlign w:val="center"/>
          </w:tcPr>
          <w:p w14:paraId="05701F78"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13,459.10</w:t>
            </w:r>
          </w:p>
        </w:tc>
        <w:tc>
          <w:tcPr>
            <w:tcW w:w="807" w:type="pct"/>
            <w:vAlign w:val="center"/>
          </w:tcPr>
          <w:p w14:paraId="3973E8B4"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22,629.52</w:t>
            </w:r>
          </w:p>
        </w:tc>
        <w:tc>
          <w:tcPr>
            <w:tcW w:w="819" w:type="pct"/>
            <w:vAlign w:val="center"/>
          </w:tcPr>
          <w:p w14:paraId="2EB31E61"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-9,170.42</w:t>
            </w:r>
          </w:p>
        </w:tc>
      </w:tr>
      <w:tr w:rsidR="00BD3166" w14:paraId="1C820771"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566" w:type="pct"/>
            <w:vAlign w:val="center"/>
          </w:tcPr>
          <w:p w14:paraId="4B21DC9B" w14:textId="77777777" w:rsidR="00BD3166" w:rsidRDefault="00C64679" w:rsidP="00E367D8">
            <w:pPr>
              <w:widowControl/>
              <w:adjustRightInd w:val="0"/>
              <w:snapToGrid w:val="0"/>
              <w:spacing w:line="240" w:lineRule="auto"/>
              <w:rPr>
                <w:snapToGrid w:val="0"/>
                <w:color w:val="auto"/>
                <w:kern w:val="0"/>
                <w:szCs w:val="18"/>
              </w:rPr>
            </w:pPr>
            <w:r>
              <w:rPr>
                <w:rFonts w:hint="eastAsia"/>
                <w:snapToGrid w:val="0"/>
                <w:kern w:val="0"/>
                <w:szCs w:val="18"/>
              </w:rPr>
              <w:t>支付给职工以及为职工支付的现金</w:t>
            </w:r>
          </w:p>
        </w:tc>
        <w:tc>
          <w:tcPr>
            <w:tcW w:w="807" w:type="pct"/>
            <w:vAlign w:val="center"/>
          </w:tcPr>
          <w:p w14:paraId="6D190444"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7,781.78</w:t>
            </w:r>
          </w:p>
        </w:tc>
        <w:tc>
          <w:tcPr>
            <w:tcW w:w="807" w:type="pct"/>
            <w:vAlign w:val="center"/>
          </w:tcPr>
          <w:p w14:paraId="73C59C5C"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8,980.79</w:t>
            </w:r>
          </w:p>
        </w:tc>
        <w:tc>
          <w:tcPr>
            <w:tcW w:w="819" w:type="pct"/>
            <w:vAlign w:val="center"/>
          </w:tcPr>
          <w:p w14:paraId="7F0C78C5"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-1,199.01</w:t>
            </w:r>
          </w:p>
        </w:tc>
      </w:tr>
      <w:tr w:rsidR="00BD3166" w14:paraId="502E0581"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566" w:type="pct"/>
            <w:vAlign w:val="center"/>
          </w:tcPr>
          <w:p w14:paraId="436446DA" w14:textId="77777777" w:rsidR="00BD3166" w:rsidRDefault="00C64679" w:rsidP="00E367D8">
            <w:pPr>
              <w:widowControl/>
              <w:adjustRightInd w:val="0"/>
              <w:snapToGrid w:val="0"/>
              <w:spacing w:line="240" w:lineRule="auto"/>
              <w:rPr>
                <w:snapToGrid w:val="0"/>
                <w:color w:val="auto"/>
                <w:kern w:val="0"/>
                <w:szCs w:val="18"/>
              </w:rPr>
            </w:pPr>
            <w:r>
              <w:rPr>
                <w:rFonts w:hint="eastAsia"/>
                <w:snapToGrid w:val="0"/>
                <w:kern w:val="0"/>
                <w:szCs w:val="18"/>
              </w:rPr>
              <w:t>支付的各项税费</w:t>
            </w:r>
          </w:p>
        </w:tc>
        <w:tc>
          <w:tcPr>
            <w:tcW w:w="807" w:type="pct"/>
            <w:vAlign w:val="center"/>
          </w:tcPr>
          <w:p w14:paraId="78FEFA00"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2,992.83</w:t>
            </w:r>
          </w:p>
        </w:tc>
        <w:tc>
          <w:tcPr>
            <w:tcW w:w="807" w:type="pct"/>
            <w:vAlign w:val="center"/>
          </w:tcPr>
          <w:p w14:paraId="68C9C5E9"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5,012.09</w:t>
            </w:r>
          </w:p>
        </w:tc>
        <w:tc>
          <w:tcPr>
            <w:tcW w:w="819" w:type="pct"/>
            <w:vAlign w:val="center"/>
          </w:tcPr>
          <w:p w14:paraId="1FBA7BD9"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-2,019.26</w:t>
            </w:r>
          </w:p>
        </w:tc>
      </w:tr>
      <w:tr w:rsidR="00BD3166" w14:paraId="0D667071"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566" w:type="pct"/>
            <w:vAlign w:val="center"/>
          </w:tcPr>
          <w:p w14:paraId="1095FF42" w14:textId="77777777" w:rsidR="00BD3166" w:rsidRDefault="00C64679" w:rsidP="00E367D8">
            <w:pPr>
              <w:widowControl/>
              <w:adjustRightInd w:val="0"/>
              <w:snapToGrid w:val="0"/>
              <w:spacing w:line="240" w:lineRule="auto"/>
              <w:rPr>
                <w:snapToGrid w:val="0"/>
                <w:color w:val="auto"/>
                <w:kern w:val="0"/>
                <w:szCs w:val="18"/>
              </w:rPr>
            </w:pPr>
            <w:r>
              <w:rPr>
                <w:rFonts w:hint="eastAsia"/>
                <w:snapToGrid w:val="0"/>
                <w:kern w:val="0"/>
                <w:szCs w:val="18"/>
              </w:rPr>
              <w:t>支付其他与经营活动有关的现金</w:t>
            </w:r>
          </w:p>
        </w:tc>
        <w:tc>
          <w:tcPr>
            <w:tcW w:w="807" w:type="pct"/>
            <w:vAlign w:val="center"/>
          </w:tcPr>
          <w:p w14:paraId="656E2ED6"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4,096.02</w:t>
            </w:r>
          </w:p>
        </w:tc>
        <w:tc>
          <w:tcPr>
            <w:tcW w:w="807" w:type="pct"/>
            <w:vAlign w:val="center"/>
          </w:tcPr>
          <w:p w14:paraId="4F07B9DB"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4,327.65</w:t>
            </w:r>
          </w:p>
        </w:tc>
        <w:tc>
          <w:tcPr>
            <w:tcW w:w="819" w:type="pct"/>
            <w:vAlign w:val="center"/>
          </w:tcPr>
          <w:p w14:paraId="7671F8E5"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-231.62</w:t>
            </w:r>
          </w:p>
        </w:tc>
      </w:tr>
      <w:tr w:rsidR="00BD3166" w14:paraId="5E651C15"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566" w:type="pct"/>
            <w:vAlign w:val="center"/>
          </w:tcPr>
          <w:p w14:paraId="2DF44D48" w14:textId="77777777" w:rsidR="00BD3166" w:rsidRDefault="00C64679" w:rsidP="00E367D8">
            <w:pPr>
              <w:widowControl/>
              <w:adjustRightInd w:val="0"/>
              <w:snapToGrid w:val="0"/>
              <w:spacing w:line="240" w:lineRule="auto"/>
              <w:rPr>
                <w:b/>
                <w:snapToGrid w:val="0"/>
                <w:color w:val="auto"/>
                <w:kern w:val="0"/>
                <w:szCs w:val="18"/>
              </w:rPr>
            </w:pPr>
            <w:r>
              <w:rPr>
                <w:rFonts w:hint="eastAsia"/>
                <w:b/>
                <w:snapToGrid w:val="0"/>
                <w:kern w:val="0"/>
                <w:szCs w:val="18"/>
              </w:rPr>
              <w:t>经营活动现金流出小计</w:t>
            </w:r>
          </w:p>
        </w:tc>
        <w:tc>
          <w:tcPr>
            <w:tcW w:w="807" w:type="pct"/>
            <w:vAlign w:val="center"/>
          </w:tcPr>
          <w:p w14:paraId="10459FC5"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28,329.73</w:t>
            </w:r>
          </w:p>
        </w:tc>
        <w:tc>
          <w:tcPr>
            <w:tcW w:w="807" w:type="pct"/>
            <w:vAlign w:val="center"/>
          </w:tcPr>
          <w:p w14:paraId="5A0F0F86"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40,950.05</w:t>
            </w:r>
          </w:p>
        </w:tc>
        <w:tc>
          <w:tcPr>
            <w:tcW w:w="819" w:type="pct"/>
            <w:vAlign w:val="center"/>
          </w:tcPr>
          <w:p w14:paraId="0ED3620C"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-12,620.31</w:t>
            </w:r>
          </w:p>
        </w:tc>
      </w:tr>
      <w:tr w:rsidR="00BD3166" w14:paraId="61639F0E"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566" w:type="pct"/>
            <w:vAlign w:val="center"/>
          </w:tcPr>
          <w:p w14:paraId="67F33488" w14:textId="77777777" w:rsidR="00BD3166" w:rsidRDefault="00C64679" w:rsidP="00E367D8">
            <w:pPr>
              <w:widowControl/>
              <w:adjustRightInd w:val="0"/>
              <w:snapToGrid w:val="0"/>
              <w:spacing w:line="240" w:lineRule="auto"/>
              <w:rPr>
                <w:b/>
                <w:snapToGrid w:val="0"/>
                <w:color w:val="auto"/>
                <w:kern w:val="0"/>
                <w:szCs w:val="18"/>
              </w:rPr>
            </w:pPr>
            <w:r>
              <w:rPr>
                <w:rFonts w:hint="eastAsia"/>
                <w:b/>
                <w:snapToGrid w:val="0"/>
                <w:kern w:val="0"/>
                <w:szCs w:val="18"/>
              </w:rPr>
              <w:t>经营活动产生的现金流量净额</w:t>
            </w:r>
          </w:p>
        </w:tc>
        <w:tc>
          <w:tcPr>
            <w:tcW w:w="807" w:type="pct"/>
            <w:vAlign w:val="center"/>
          </w:tcPr>
          <w:p w14:paraId="78333C9D"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10,712.36</w:t>
            </w:r>
          </w:p>
        </w:tc>
        <w:tc>
          <w:tcPr>
            <w:tcW w:w="807" w:type="pct"/>
            <w:vAlign w:val="center"/>
          </w:tcPr>
          <w:p w14:paraId="60A952DC"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15,651.55</w:t>
            </w:r>
          </w:p>
        </w:tc>
        <w:tc>
          <w:tcPr>
            <w:tcW w:w="819" w:type="pct"/>
            <w:vAlign w:val="center"/>
          </w:tcPr>
          <w:p w14:paraId="5ADCBDA1"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18"/>
              </w:rPr>
            </w:pPr>
            <w:r>
              <w:rPr>
                <w:b/>
                <w:snapToGrid w:val="0"/>
                <w:kern w:val="0"/>
                <w:szCs w:val="18"/>
              </w:rPr>
              <w:t>-4,939.18</w:t>
            </w:r>
          </w:p>
        </w:tc>
      </w:tr>
    </w:tbl>
    <w:p w14:paraId="45D9C68F"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报告期内，大唐微电子主营业务不存在变化情况，大唐微电子</w:t>
      </w:r>
      <w:r>
        <w:rPr>
          <w:rFonts w:ascii="Times New Roman" w:hAnsi="Times New Roman" w:cs="Times New Roman" w:hint="eastAsia"/>
          <w:sz w:val="24"/>
        </w:rPr>
        <w:t>2020</w:t>
      </w:r>
      <w:r>
        <w:rPr>
          <w:rFonts w:ascii="Times New Roman" w:hAnsi="Times New Roman" w:cs="Times New Roman" w:hint="eastAsia"/>
          <w:sz w:val="24"/>
        </w:rPr>
        <w:t>年度经营活动产生的现金流量净额下降</w:t>
      </w:r>
      <w:proofErr w:type="gramStart"/>
      <w:r>
        <w:rPr>
          <w:rFonts w:ascii="Times New Roman" w:hAnsi="Times New Roman" w:cs="Times New Roman" w:hint="eastAsia"/>
          <w:sz w:val="24"/>
        </w:rPr>
        <w:t>主要系部分销</w:t>
      </w:r>
      <w:proofErr w:type="gramEnd"/>
      <w:r>
        <w:rPr>
          <w:rFonts w:ascii="Times New Roman" w:hAnsi="Times New Roman" w:cs="Times New Roman" w:hint="eastAsia"/>
          <w:sz w:val="24"/>
        </w:rPr>
        <w:t>货款未能在报告期末及时收回所致。截至</w:t>
      </w:r>
      <w:r>
        <w:rPr>
          <w:rFonts w:ascii="Times New Roman" w:hAnsi="Times New Roman" w:cs="Times New Roman" w:hint="eastAsia"/>
          <w:sz w:val="24"/>
        </w:rPr>
        <w:t>2020</w:t>
      </w:r>
      <w:r>
        <w:rPr>
          <w:rFonts w:ascii="Times New Roman" w:hAnsi="Times New Roman" w:cs="Times New Roman" w:hint="eastAsia"/>
          <w:sz w:val="24"/>
        </w:rPr>
        <w:t>年末，大唐微电子应收账款余额</w:t>
      </w:r>
      <w:r>
        <w:rPr>
          <w:rFonts w:ascii="Times New Roman" w:hAnsi="Times New Roman" w:cs="Times New Roman" w:hint="eastAsia"/>
          <w:sz w:val="24"/>
        </w:rPr>
        <w:t>14,839.37</w:t>
      </w:r>
      <w:r>
        <w:rPr>
          <w:rFonts w:ascii="Times New Roman" w:hAnsi="Times New Roman" w:cs="Times New Roman" w:hint="eastAsia"/>
          <w:sz w:val="24"/>
        </w:rPr>
        <w:t>万元，较</w:t>
      </w:r>
      <w:r>
        <w:rPr>
          <w:rFonts w:ascii="Times New Roman" w:hAnsi="Times New Roman" w:cs="Times New Roman" w:hint="eastAsia"/>
          <w:sz w:val="24"/>
        </w:rPr>
        <w:t>2019</w:t>
      </w:r>
      <w:r>
        <w:rPr>
          <w:rFonts w:ascii="Times New Roman" w:hAnsi="Times New Roman" w:cs="Times New Roman" w:hint="eastAsia"/>
          <w:sz w:val="24"/>
        </w:rPr>
        <w:t>年末增长</w:t>
      </w:r>
      <w:r>
        <w:rPr>
          <w:rFonts w:ascii="Times New Roman" w:hAnsi="Times New Roman" w:cs="Times New Roman" w:hint="eastAsia"/>
          <w:sz w:val="24"/>
        </w:rPr>
        <w:t>2,838.41</w:t>
      </w:r>
      <w:r>
        <w:rPr>
          <w:rFonts w:ascii="Times New Roman" w:hAnsi="Times New Roman" w:cs="Times New Roman" w:hint="eastAsia"/>
          <w:sz w:val="24"/>
        </w:rPr>
        <w:t>万元。</w:t>
      </w:r>
    </w:p>
    <w:p w14:paraId="4EA33A0F"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报告期内，大唐微电子投资活动产生的现金流量净额下降</w:t>
      </w:r>
      <w:r>
        <w:rPr>
          <w:rFonts w:ascii="Times New Roman" w:hAnsi="Times New Roman" w:cs="Times New Roman" w:hint="eastAsia"/>
          <w:sz w:val="24"/>
        </w:rPr>
        <w:t>16,921.95</w:t>
      </w:r>
      <w:r>
        <w:rPr>
          <w:rFonts w:ascii="Times New Roman" w:hAnsi="Times New Roman" w:cs="Times New Roman" w:hint="eastAsia"/>
          <w:sz w:val="24"/>
        </w:rPr>
        <w:t>万元，具体分项的变化情况如下表所示：</w:t>
      </w:r>
    </w:p>
    <w:p w14:paraId="66F730AE" w14:textId="77777777" w:rsidR="00BD3166" w:rsidRDefault="00C64679">
      <w:pPr>
        <w:ind w:firstLineChars="200" w:firstLine="420"/>
        <w:jc w:val="right"/>
        <w:rPr>
          <w:rFonts w:ascii="Times New Roman" w:hAnsi="Times New Roman" w:cs="Times New Roman"/>
        </w:rPr>
      </w:pPr>
      <w:r>
        <w:rPr>
          <w:rFonts w:ascii="Times New Roman" w:hAnsi="Times New Roman" w:cs="Times New Roman" w:hint="eastAsia"/>
        </w:rPr>
        <w:t>单位：万元</w:t>
      </w:r>
    </w:p>
    <w:tbl>
      <w:tblPr>
        <w:tblStyle w:val="ab"/>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70" w:type="dxa"/>
          <w:bottom w:w="20" w:type="dxa"/>
          <w:right w:w="70" w:type="dxa"/>
        </w:tblCellMar>
        <w:tblLook w:val="04A0" w:firstRow="1" w:lastRow="0" w:firstColumn="1" w:lastColumn="0" w:noHBand="0" w:noVBand="1"/>
      </w:tblPr>
      <w:tblGrid>
        <w:gridCol w:w="4755"/>
        <w:gridCol w:w="1299"/>
        <w:gridCol w:w="1154"/>
        <w:gridCol w:w="1238"/>
      </w:tblGrid>
      <w:tr w:rsidR="00BD3166" w14:paraId="470831C7" w14:textId="77777777" w:rsidTr="00E367D8">
        <w:trPr>
          <w:cnfStyle w:val="100000000000" w:firstRow="1" w:lastRow="0" w:firstColumn="0" w:lastColumn="0" w:oddVBand="0" w:evenVBand="0" w:oddHBand="0" w:evenHBand="0" w:firstRowFirstColumn="0" w:firstRowLastColumn="0" w:lastRowFirstColumn="0" w:lastRowLastColumn="0"/>
          <w:cantSplit/>
          <w:trHeight w:val="454"/>
        </w:trPr>
        <w:tc>
          <w:tcPr>
            <w:cnfStyle w:val="001000000100" w:firstRow="0" w:lastRow="0" w:firstColumn="1" w:lastColumn="0" w:oddVBand="0" w:evenVBand="0" w:oddHBand="0" w:evenHBand="0" w:firstRowFirstColumn="1" w:firstRowLastColumn="0" w:lastRowFirstColumn="0" w:lastRowLastColumn="0"/>
            <w:tcW w:w="2815" w:type="pct"/>
            <w:vAlign w:val="center"/>
          </w:tcPr>
          <w:p w14:paraId="34137E3F" w14:textId="77777777" w:rsidR="00BD3166" w:rsidRDefault="00C64679" w:rsidP="00E367D8">
            <w:pPr>
              <w:widowControl/>
              <w:adjustRightInd w:val="0"/>
              <w:snapToGrid w:val="0"/>
              <w:spacing w:line="240" w:lineRule="auto"/>
              <w:jc w:val="center"/>
              <w:rPr>
                <w:b/>
                <w:snapToGrid w:val="0"/>
                <w:color w:val="auto"/>
                <w:kern w:val="0"/>
                <w:szCs w:val="20"/>
              </w:rPr>
            </w:pPr>
            <w:r>
              <w:rPr>
                <w:rFonts w:hint="eastAsia"/>
                <w:b/>
                <w:snapToGrid w:val="0"/>
                <w:kern w:val="0"/>
                <w:szCs w:val="20"/>
              </w:rPr>
              <w:t>项目</w:t>
            </w:r>
          </w:p>
        </w:tc>
        <w:tc>
          <w:tcPr>
            <w:tcW w:w="769" w:type="pct"/>
            <w:vAlign w:val="center"/>
          </w:tcPr>
          <w:p w14:paraId="6ADEF41A" w14:textId="77777777" w:rsidR="00BD3166" w:rsidRDefault="00C64679" w:rsidP="00E367D8">
            <w:pPr>
              <w:widowControl/>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2020</w:t>
            </w:r>
            <w:r>
              <w:rPr>
                <w:rFonts w:hint="eastAsia"/>
                <w:b/>
                <w:snapToGrid w:val="0"/>
                <w:kern w:val="0"/>
                <w:szCs w:val="20"/>
              </w:rPr>
              <w:t>年度</w:t>
            </w:r>
          </w:p>
        </w:tc>
        <w:tc>
          <w:tcPr>
            <w:tcW w:w="683" w:type="pct"/>
            <w:vAlign w:val="center"/>
          </w:tcPr>
          <w:p w14:paraId="064772A6" w14:textId="77777777" w:rsidR="00BD3166" w:rsidRDefault="00C64679" w:rsidP="00E367D8">
            <w:pPr>
              <w:widowControl/>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2019</w:t>
            </w:r>
            <w:r>
              <w:rPr>
                <w:rFonts w:hint="eastAsia"/>
                <w:b/>
                <w:snapToGrid w:val="0"/>
                <w:kern w:val="0"/>
                <w:szCs w:val="20"/>
              </w:rPr>
              <w:t>年度</w:t>
            </w:r>
          </w:p>
        </w:tc>
        <w:tc>
          <w:tcPr>
            <w:tcW w:w="733" w:type="pct"/>
            <w:vAlign w:val="center"/>
          </w:tcPr>
          <w:p w14:paraId="7E05FEAD" w14:textId="77777777" w:rsidR="00BD3166" w:rsidRDefault="00C64679" w:rsidP="00E367D8">
            <w:pPr>
              <w:widowControl/>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0"/>
              </w:rPr>
            </w:pPr>
            <w:r>
              <w:rPr>
                <w:rFonts w:hint="eastAsia"/>
                <w:b/>
                <w:snapToGrid w:val="0"/>
                <w:kern w:val="0"/>
                <w:szCs w:val="20"/>
              </w:rPr>
              <w:t>增减金额</w:t>
            </w:r>
          </w:p>
        </w:tc>
      </w:tr>
      <w:tr w:rsidR="00BD3166" w14:paraId="63BE015E"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206A6DBF" w14:textId="77777777" w:rsidR="00BD3166" w:rsidRDefault="00C64679" w:rsidP="00E367D8">
            <w:pPr>
              <w:widowControl/>
              <w:adjustRightInd w:val="0"/>
              <w:snapToGrid w:val="0"/>
              <w:spacing w:line="240" w:lineRule="auto"/>
              <w:jc w:val="left"/>
              <w:rPr>
                <w:snapToGrid w:val="0"/>
                <w:color w:val="auto"/>
                <w:kern w:val="0"/>
                <w:szCs w:val="20"/>
              </w:rPr>
            </w:pPr>
            <w:r>
              <w:rPr>
                <w:rFonts w:hint="eastAsia"/>
                <w:snapToGrid w:val="0"/>
                <w:kern w:val="0"/>
                <w:szCs w:val="20"/>
              </w:rPr>
              <w:t>收回投资收到的现金</w:t>
            </w:r>
          </w:p>
        </w:tc>
        <w:tc>
          <w:tcPr>
            <w:tcW w:w="769" w:type="pct"/>
            <w:vAlign w:val="center"/>
          </w:tcPr>
          <w:p w14:paraId="2E00F2AF"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c>
          <w:tcPr>
            <w:tcW w:w="683" w:type="pct"/>
            <w:vAlign w:val="center"/>
          </w:tcPr>
          <w:p w14:paraId="756AE32F"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c>
          <w:tcPr>
            <w:tcW w:w="733" w:type="pct"/>
            <w:vAlign w:val="center"/>
          </w:tcPr>
          <w:p w14:paraId="209A8A72"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r>
      <w:tr w:rsidR="00BD3166" w14:paraId="0F7C4205"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0B4757B5" w14:textId="77777777" w:rsidR="00BD3166" w:rsidRDefault="00C64679" w:rsidP="00E367D8">
            <w:pPr>
              <w:widowControl/>
              <w:adjustRightInd w:val="0"/>
              <w:snapToGrid w:val="0"/>
              <w:spacing w:line="240" w:lineRule="auto"/>
              <w:jc w:val="left"/>
              <w:rPr>
                <w:snapToGrid w:val="0"/>
                <w:color w:val="auto"/>
                <w:kern w:val="0"/>
                <w:szCs w:val="20"/>
              </w:rPr>
            </w:pPr>
            <w:r>
              <w:rPr>
                <w:rFonts w:hint="eastAsia"/>
                <w:snapToGrid w:val="0"/>
                <w:kern w:val="0"/>
                <w:szCs w:val="20"/>
              </w:rPr>
              <w:t>取得投资收益收到的现金</w:t>
            </w:r>
          </w:p>
        </w:tc>
        <w:tc>
          <w:tcPr>
            <w:tcW w:w="769" w:type="pct"/>
            <w:vAlign w:val="center"/>
          </w:tcPr>
          <w:p w14:paraId="4AFC6517"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c>
          <w:tcPr>
            <w:tcW w:w="683" w:type="pct"/>
            <w:vAlign w:val="center"/>
          </w:tcPr>
          <w:p w14:paraId="4FBEEEE2"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c>
          <w:tcPr>
            <w:tcW w:w="733" w:type="pct"/>
            <w:vAlign w:val="center"/>
          </w:tcPr>
          <w:p w14:paraId="6ADF3189"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r>
      <w:tr w:rsidR="00BD3166" w14:paraId="7C4D0AEE"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2CFD6700" w14:textId="77777777" w:rsidR="00BD3166" w:rsidRDefault="00C64679" w:rsidP="00E367D8">
            <w:pPr>
              <w:widowControl/>
              <w:adjustRightInd w:val="0"/>
              <w:snapToGrid w:val="0"/>
              <w:spacing w:line="240" w:lineRule="auto"/>
              <w:jc w:val="left"/>
              <w:rPr>
                <w:snapToGrid w:val="0"/>
                <w:color w:val="auto"/>
                <w:kern w:val="0"/>
                <w:szCs w:val="20"/>
              </w:rPr>
            </w:pPr>
            <w:r>
              <w:rPr>
                <w:rFonts w:hint="eastAsia"/>
                <w:snapToGrid w:val="0"/>
                <w:kern w:val="0"/>
                <w:szCs w:val="20"/>
              </w:rPr>
              <w:t>处置固定资产、无形资产和其他长期资产收回的现金净额</w:t>
            </w:r>
          </w:p>
        </w:tc>
        <w:tc>
          <w:tcPr>
            <w:tcW w:w="769" w:type="pct"/>
            <w:vAlign w:val="center"/>
          </w:tcPr>
          <w:p w14:paraId="106532C9"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c>
          <w:tcPr>
            <w:tcW w:w="683" w:type="pct"/>
            <w:vAlign w:val="center"/>
          </w:tcPr>
          <w:p w14:paraId="1559FCF3"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0.30</w:t>
            </w:r>
          </w:p>
        </w:tc>
        <w:tc>
          <w:tcPr>
            <w:tcW w:w="733" w:type="pct"/>
            <w:vAlign w:val="center"/>
          </w:tcPr>
          <w:p w14:paraId="3849A509"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-0.30</w:t>
            </w:r>
          </w:p>
        </w:tc>
      </w:tr>
      <w:tr w:rsidR="00BD3166" w14:paraId="3EB3C2C5"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32A9434C" w14:textId="77777777" w:rsidR="00BD3166" w:rsidRDefault="00C64679" w:rsidP="00E367D8">
            <w:pPr>
              <w:widowControl/>
              <w:adjustRightInd w:val="0"/>
              <w:snapToGrid w:val="0"/>
              <w:spacing w:line="240" w:lineRule="auto"/>
              <w:jc w:val="left"/>
              <w:rPr>
                <w:snapToGrid w:val="0"/>
                <w:color w:val="auto"/>
                <w:kern w:val="0"/>
                <w:szCs w:val="20"/>
              </w:rPr>
            </w:pPr>
            <w:r>
              <w:rPr>
                <w:rFonts w:hint="eastAsia"/>
                <w:snapToGrid w:val="0"/>
                <w:kern w:val="0"/>
                <w:szCs w:val="20"/>
              </w:rPr>
              <w:t>处置子公司及其他营业单位收到的现金净额</w:t>
            </w:r>
          </w:p>
        </w:tc>
        <w:tc>
          <w:tcPr>
            <w:tcW w:w="769" w:type="pct"/>
            <w:vAlign w:val="center"/>
          </w:tcPr>
          <w:p w14:paraId="228797BF"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c>
          <w:tcPr>
            <w:tcW w:w="683" w:type="pct"/>
            <w:vAlign w:val="center"/>
          </w:tcPr>
          <w:p w14:paraId="46D54BC2"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c>
          <w:tcPr>
            <w:tcW w:w="733" w:type="pct"/>
            <w:vAlign w:val="center"/>
          </w:tcPr>
          <w:p w14:paraId="7FC8355A"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r>
      <w:tr w:rsidR="00BD3166" w14:paraId="438587B9"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1143C9D3" w14:textId="77777777" w:rsidR="00BD3166" w:rsidRDefault="00C64679" w:rsidP="00E367D8">
            <w:pPr>
              <w:widowControl/>
              <w:adjustRightInd w:val="0"/>
              <w:snapToGrid w:val="0"/>
              <w:spacing w:line="240" w:lineRule="auto"/>
              <w:jc w:val="left"/>
              <w:rPr>
                <w:snapToGrid w:val="0"/>
                <w:color w:val="auto"/>
                <w:kern w:val="0"/>
                <w:szCs w:val="20"/>
              </w:rPr>
            </w:pPr>
            <w:r>
              <w:rPr>
                <w:rFonts w:hint="eastAsia"/>
                <w:snapToGrid w:val="0"/>
                <w:kern w:val="0"/>
                <w:szCs w:val="20"/>
              </w:rPr>
              <w:t>收到其他与投资活动有关的现金</w:t>
            </w:r>
          </w:p>
        </w:tc>
        <w:tc>
          <w:tcPr>
            <w:tcW w:w="769" w:type="pct"/>
            <w:vAlign w:val="center"/>
          </w:tcPr>
          <w:p w14:paraId="70A2575A"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14,499.17</w:t>
            </w:r>
          </w:p>
        </w:tc>
        <w:tc>
          <w:tcPr>
            <w:tcW w:w="683" w:type="pct"/>
            <w:vAlign w:val="center"/>
          </w:tcPr>
          <w:p w14:paraId="1EFDFE46"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c>
          <w:tcPr>
            <w:tcW w:w="733" w:type="pct"/>
            <w:vAlign w:val="center"/>
          </w:tcPr>
          <w:p w14:paraId="11109089"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14,499.17</w:t>
            </w:r>
          </w:p>
        </w:tc>
      </w:tr>
      <w:tr w:rsidR="00BD3166" w14:paraId="27D8AD82"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74B4A7A2" w14:textId="77777777" w:rsidR="00BD3166" w:rsidRDefault="00C64679" w:rsidP="00E367D8">
            <w:pPr>
              <w:widowControl/>
              <w:adjustRightInd w:val="0"/>
              <w:snapToGrid w:val="0"/>
              <w:spacing w:line="240" w:lineRule="auto"/>
              <w:jc w:val="left"/>
              <w:rPr>
                <w:b/>
                <w:snapToGrid w:val="0"/>
                <w:color w:val="auto"/>
                <w:kern w:val="0"/>
                <w:szCs w:val="20"/>
              </w:rPr>
            </w:pPr>
            <w:r>
              <w:rPr>
                <w:rFonts w:hint="eastAsia"/>
                <w:b/>
                <w:snapToGrid w:val="0"/>
                <w:kern w:val="0"/>
                <w:szCs w:val="20"/>
              </w:rPr>
              <w:lastRenderedPageBreak/>
              <w:t>投资活动现金流入小计</w:t>
            </w:r>
          </w:p>
        </w:tc>
        <w:tc>
          <w:tcPr>
            <w:tcW w:w="769" w:type="pct"/>
            <w:vAlign w:val="center"/>
          </w:tcPr>
          <w:p w14:paraId="518FF37A"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14,499.17</w:t>
            </w:r>
          </w:p>
        </w:tc>
        <w:tc>
          <w:tcPr>
            <w:tcW w:w="683" w:type="pct"/>
            <w:vAlign w:val="center"/>
          </w:tcPr>
          <w:p w14:paraId="1A7C7274"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0.30</w:t>
            </w:r>
          </w:p>
        </w:tc>
        <w:tc>
          <w:tcPr>
            <w:tcW w:w="733" w:type="pct"/>
            <w:vAlign w:val="center"/>
          </w:tcPr>
          <w:p w14:paraId="333F8B88"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14,498.87</w:t>
            </w:r>
          </w:p>
        </w:tc>
      </w:tr>
      <w:tr w:rsidR="00BD3166" w14:paraId="6BB0373B"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3E852A8B" w14:textId="77777777" w:rsidR="00BD3166" w:rsidRDefault="00C64679" w:rsidP="00E367D8">
            <w:pPr>
              <w:widowControl/>
              <w:adjustRightInd w:val="0"/>
              <w:snapToGrid w:val="0"/>
              <w:spacing w:line="240" w:lineRule="auto"/>
              <w:jc w:val="left"/>
              <w:rPr>
                <w:snapToGrid w:val="0"/>
                <w:color w:val="auto"/>
                <w:kern w:val="0"/>
                <w:szCs w:val="20"/>
              </w:rPr>
            </w:pPr>
            <w:r>
              <w:rPr>
                <w:rFonts w:hint="eastAsia"/>
                <w:snapToGrid w:val="0"/>
                <w:kern w:val="0"/>
                <w:szCs w:val="20"/>
              </w:rPr>
              <w:t>购建固定资产、无形资产和其他长期资产支付的现金</w:t>
            </w:r>
          </w:p>
        </w:tc>
        <w:tc>
          <w:tcPr>
            <w:tcW w:w="769" w:type="pct"/>
            <w:vAlign w:val="center"/>
          </w:tcPr>
          <w:p w14:paraId="15BDF9EE"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1,116.44</w:t>
            </w:r>
          </w:p>
        </w:tc>
        <w:tc>
          <w:tcPr>
            <w:tcW w:w="683" w:type="pct"/>
            <w:vAlign w:val="center"/>
          </w:tcPr>
          <w:p w14:paraId="3429D45D"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1,096.62</w:t>
            </w:r>
          </w:p>
        </w:tc>
        <w:tc>
          <w:tcPr>
            <w:tcW w:w="733" w:type="pct"/>
            <w:vAlign w:val="center"/>
          </w:tcPr>
          <w:p w14:paraId="43C4B067"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19.81</w:t>
            </w:r>
          </w:p>
        </w:tc>
      </w:tr>
      <w:tr w:rsidR="00BD3166" w14:paraId="06ECB0D7"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6243CE23" w14:textId="77777777" w:rsidR="00BD3166" w:rsidRDefault="00C64679" w:rsidP="00E367D8">
            <w:pPr>
              <w:widowControl/>
              <w:adjustRightInd w:val="0"/>
              <w:snapToGrid w:val="0"/>
              <w:spacing w:line="240" w:lineRule="auto"/>
              <w:jc w:val="left"/>
              <w:rPr>
                <w:snapToGrid w:val="0"/>
                <w:color w:val="auto"/>
                <w:kern w:val="0"/>
                <w:szCs w:val="20"/>
              </w:rPr>
            </w:pPr>
            <w:r>
              <w:rPr>
                <w:rFonts w:hint="eastAsia"/>
                <w:snapToGrid w:val="0"/>
                <w:kern w:val="0"/>
                <w:szCs w:val="20"/>
              </w:rPr>
              <w:t>投资支付的现金</w:t>
            </w:r>
          </w:p>
        </w:tc>
        <w:tc>
          <w:tcPr>
            <w:tcW w:w="769" w:type="pct"/>
            <w:vAlign w:val="center"/>
          </w:tcPr>
          <w:p w14:paraId="5E4810B8"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1,747.00</w:t>
            </w:r>
          </w:p>
        </w:tc>
        <w:tc>
          <w:tcPr>
            <w:tcW w:w="683" w:type="pct"/>
            <w:vAlign w:val="center"/>
          </w:tcPr>
          <w:p w14:paraId="0DB6544A"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1,746.00</w:t>
            </w:r>
          </w:p>
        </w:tc>
        <w:tc>
          <w:tcPr>
            <w:tcW w:w="733" w:type="pct"/>
            <w:vAlign w:val="center"/>
          </w:tcPr>
          <w:p w14:paraId="26CC4E83"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1.00</w:t>
            </w:r>
          </w:p>
        </w:tc>
      </w:tr>
      <w:tr w:rsidR="00BD3166" w14:paraId="7166EF89"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4148D2E4" w14:textId="77777777" w:rsidR="00BD3166" w:rsidRDefault="00C64679" w:rsidP="00E367D8">
            <w:pPr>
              <w:widowControl/>
              <w:adjustRightInd w:val="0"/>
              <w:snapToGrid w:val="0"/>
              <w:spacing w:line="240" w:lineRule="auto"/>
              <w:jc w:val="left"/>
              <w:rPr>
                <w:snapToGrid w:val="0"/>
                <w:color w:val="auto"/>
                <w:kern w:val="0"/>
                <w:szCs w:val="20"/>
              </w:rPr>
            </w:pPr>
            <w:r>
              <w:rPr>
                <w:rFonts w:hint="eastAsia"/>
                <w:snapToGrid w:val="0"/>
                <w:kern w:val="0"/>
                <w:szCs w:val="20"/>
              </w:rPr>
              <w:t>取得子公司及其他营业单位支付的现金净额</w:t>
            </w:r>
          </w:p>
        </w:tc>
        <w:tc>
          <w:tcPr>
            <w:tcW w:w="769" w:type="pct"/>
            <w:vAlign w:val="center"/>
          </w:tcPr>
          <w:p w14:paraId="21CF43CE"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c>
          <w:tcPr>
            <w:tcW w:w="683" w:type="pct"/>
            <w:vAlign w:val="center"/>
          </w:tcPr>
          <w:p w14:paraId="2768FA8C"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c>
          <w:tcPr>
            <w:tcW w:w="733" w:type="pct"/>
            <w:vAlign w:val="center"/>
          </w:tcPr>
          <w:p w14:paraId="016095FE"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r>
      <w:tr w:rsidR="00BD3166" w14:paraId="59889C82"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150058CE" w14:textId="77777777" w:rsidR="00BD3166" w:rsidRDefault="00C64679" w:rsidP="00E367D8">
            <w:pPr>
              <w:widowControl/>
              <w:adjustRightInd w:val="0"/>
              <w:snapToGrid w:val="0"/>
              <w:spacing w:line="240" w:lineRule="auto"/>
              <w:jc w:val="left"/>
              <w:rPr>
                <w:snapToGrid w:val="0"/>
                <w:color w:val="auto"/>
                <w:kern w:val="0"/>
                <w:szCs w:val="20"/>
              </w:rPr>
            </w:pPr>
            <w:r>
              <w:rPr>
                <w:rFonts w:hint="eastAsia"/>
                <w:snapToGrid w:val="0"/>
                <w:kern w:val="0"/>
                <w:szCs w:val="20"/>
              </w:rPr>
              <w:t>支付其他与投资活动有关的现金</w:t>
            </w:r>
          </w:p>
        </w:tc>
        <w:tc>
          <w:tcPr>
            <w:tcW w:w="769" w:type="pct"/>
            <w:vAlign w:val="center"/>
          </w:tcPr>
          <w:p w14:paraId="495B836B"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31,400.00</w:t>
            </w:r>
          </w:p>
        </w:tc>
        <w:tc>
          <w:tcPr>
            <w:tcW w:w="683" w:type="pct"/>
            <w:vAlign w:val="center"/>
          </w:tcPr>
          <w:p w14:paraId="56CD7CA2"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rFonts w:hint="eastAsia"/>
                <w:snapToGrid w:val="0"/>
                <w:color w:val="auto"/>
                <w:kern w:val="0"/>
                <w:szCs w:val="20"/>
              </w:rPr>
              <w:t>-</w:t>
            </w:r>
          </w:p>
        </w:tc>
        <w:tc>
          <w:tcPr>
            <w:tcW w:w="733" w:type="pct"/>
            <w:vAlign w:val="center"/>
          </w:tcPr>
          <w:p w14:paraId="243327BF"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0"/>
              </w:rPr>
            </w:pPr>
            <w:r>
              <w:rPr>
                <w:snapToGrid w:val="0"/>
                <w:kern w:val="0"/>
                <w:szCs w:val="20"/>
              </w:rPr>
              <w:t>31,400.00</w:t>
            </w:r>
          </w:p>
        </w:tc>
      </w:tr>
      <w:tr w:rsidR="00BD3166" w14:paraId="51BDAB56"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68E9040F" w14:textId="77777777" w:rsidR="00BD3166" w:rsidRDefault="00C64679" w:rsidP="00E367D8">
            <w:pPr>
              <w:widowControl/>
              <w:adjustRightInd w:val="0"/>
              <w:snapToGrid w:val="0"/>
              <w:spacing w:line="240" w:lineRule="auto"/>
              <w:jc w:val="left"/>
              <w:rPr>
                <w:b/>
                <w:snapToGrid w:val="0"/>
                <w:color w:val="auto"/>
                <w:kern w:val="0"/>
                <w:szCs w:val="20"/>
              </w:rPr>
            </w:pPr>
            <w:r>
              <w:rPr>
                <w:rFonts w:hint="eastAsia"/>
                <w:b/>
                <w:snapToGrid w:val="0"/>
                <w:kern w:val="0"/>
                <w:szCs w:val="20"/>
              </w:rPr>
              <w:t>投资活动现金流出小计</w:t>
            </w:r>
          </w:p>
        </w:tc>
        <w:tc>
          <w:tcPr>
            <w:tcW w:w="769" w:type="pct"/>
            <w:vAlign w:val="center"/>
          </w:tcPr>
          <w:p w14:paraId="4E4DB5AD"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34,263.44</w:t>
            </w:r>
          </w:p>
        </w:tc>
        <w:tc>
          <w:tcPr>
            <w:tcW w:w="683" w:type="pct"/>
            <w:vAlign w:val="center"/>
          </w:tcPr>
          <w:p w14:paraId="163F7BDA"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2,842.62</w:t>
            </w:r>
          </w:p>
        </w:tc>
        <w:tc>
          <w:tcPr>
            <w:tcW w:w="733" w:type="pct"/>
            <w:vAlign w:val="center"/>
          </w:tcPr>
          <w:p w14:paraId="1C7F110C"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31,420.81</w:t>
            </w:r>
          </w:p>
        </w:tc>
      </w:tr>
      <w:tr w:rsidR="00BD3166" w14:paraId="6A9F4EE2" w14:textId="77777777" w:rsidTr="00E367D8">
        <w:trPr>
          <w:cantSplit/>
          <w:trHeight w:val="454"/>
        </w:trPr>
        <w:tc>
          <w:tcPr>
            <w:cnfStyle w:val="001000000000" w:firstRow="0" w:lastRow="0" w:firstColumn="1" w:lastColumn="0" w:oddVBand="0" w:evenVBand="0" w:oddHBand="0" w:evenHBand="0" w:firstRowFirstColumn="0" w:firstRowLastColumn="0" w:lastRowFirstColumn="0" w:lastRowLastColumn="0"/>
            <w:tcW w:w="2815" w:type="pct"/>
            <w:vAlign w:val="center"/>
          </w:tcPr>
          <w:p w14:paraId="7462E1FF" w14:textId="77777777" w:rsidR="00BD3166" w:rsidRDefault="00C64679" w:rsidP="00E367D8">
            <w:pPr>
              <w:widowControl/>
              <w:adjustRightInd w:val="0"/>
              <w:snapToGrid w:val="0"/>
              <w:spacing w:line="240" w:lineRule="auto"/>
              <w:jc w:val="left"/>
              <w:rPr>
                <w:b/>
                <w:bCs/>
                <w:snapToGrid w:val="0"/>
                <w:color w:val="auto"/>
                <w:kern w:val="0"/>
                <w:szCs w:val="20"/>
              </w:rPr>
            </w:pPr>
            <w:r>
              <w:rPr>
                <w:rFonts w:hint="eastAsia"/>
                <w:b/>
                <w:bCs/>
                <w:snapToGrid w:val="0"/>
                <w:kern w:val="0"/>
                <w:szCs w:val="20"/>
              </w:rPr>
              <w:t>投资活动产生的现金流量净额</w:t>
            </w:r>
          </w:p>
        </w:tc>
        <w:tc>
          <w:tcPr>
            <w:tcW w:w="769" w:type="pct"/>
            <w:vAlign w:val="center"/>
          </w:tcPr>
          <w:p w14:paraId="1084F916"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-19,764.27</w:t>
            </w:r>
          </w:p>
        </w:tc>
        <w:tc>
          <w:tcPr>
            <w:tcW w:w="683" w:type="pct"/>
            <w:vAlign w:val="center"/>
          </w:tcPr>
          <w:p w14:paraId="585487CC"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-2,842.32</w:t>
            </w:r>
          </w:p>
        </w:tc>
        <w:tc>
          <w:tcPr>
            <w:tcW w:w="733" w:type="pct"/>
            <w:vAlign w:val="center"/>
          </w:tcPr>
          <w:p w14:paraId="3DEA8FE6" w14:textId="77777777" w:rsidR="00BD3166" w:rsidRDefault="00C64679">
            <w:pPr>
              <w:widowControl/>
              <w:adjustRightInd w:val="0"/>
              <w:snapToGrid w:val="0"/>
              <w:jc w:val="right"/>
              <w:cnfStyle w:val="000000000000" w:firstRow="0"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-16,921.95</w:t>
            </w:r>
          </w:p>
        </w:tc>
      </w:tr>
    </w:tbl>
    <w:p w14:paraId="7CA21641"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报告期内大唐微电子投资活动现金流量的变动主要系</w:t>
      </w:r>
      <w:r>
        <w:rPr>
          <w:rFonts w:ascii="Times New Roman" w:hAnsi="Times New Roman" w:cs="Times New Roman" w:hint="eastAsia"/>
          <w:sz w:val="24"/>
        </w:rPr>
        <w:t>2020</w:t>
      </w:r>
      <w:r>
        <w:rPr>
          <w:rFonts w:ascii="Times New Roman" w:hAnsi="Times New Roman" w:cs="Times New Roman" w:hint="eastAsia"/>
          <w:sz w:val="24"/>
        </w:rPr>
        <w:t>年度大唐微电子收到上市公司拨付的用于归还到期金融负债以及日常经营款项</w:t>
      </w:r>
      <w:r>
        <w:rPr>
          <w:rFonts w:ascii="Times New Roman" w:hAnsi="Times New Roman" w:cs="Times New Roman" w:hint="eastAsia"/>
          <w:sz w:val="24"/>
        </w:rPr>
        <w:t>14,499.17</w:t>
      </w:r>
      <w:r>
        <w:rPr>
          <w:rFonts w:ascii="Times New Roman" w:hAnsi="Times New Roman" w:cs="Times New Roman" w:hint="eastAsia"/>
          <w:sz w:val="24"/>
        </w:rPr>
        <w:t>万元，同时向上市公司借款</w:t>
      </w:r>
      <w:r>
        <w:rPr>
          <w:rFonts w:ascii="Times New Roman" w:hAnsi="Times New Roman" w:cs="Times New Roman" w:hint="eastAsia"/>
          <w:sz w:val="24"/>
        </w:rPr>
        <w:t>31,400.00</w:t>
      </w:r>
      <w:r>
        <w:rPr>
          <w:rFonts w:ascii="Times New Roman" w:hAnsi="Times New Roman" w:cs="Times New Roman" w:hint="eastAsia"/>
          <w:sz w:val="24"/>
        </w:rPr>
        <w:t>万元，主要用于归还上市公司到期金融负债以及补充流动资金等，因此导致投资活动产生的现金流量较上年下降</w:t>
      </w:r>
      <w:r>
        <w:rPr>
          <w:rFonts w:ascii="Times New Roman" w:hAnsi="Times New Roman" w:cs="Times New Roman" w:hint="eastAsia"/>
          <w:sz w:val="24"/>
        </w:rPr>
        <w:t>16,921.95</w:t>
      </w:r>
      <w:r>
        <w:rPr>
          <w:rFonts w:ascii="Times New Roman" w:hAnsi="Times New Roman" w:cs="Times New Roman" w:hint="eastAsia"/>
          <w:sz w:val="24"/>
        </w:rPr>
        <w:t>万元。</w:t>
      </w:r>
    </w:p>
    <w:p w14:paraId="713CB9DD"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二、结合标的公司负债结构、货币资金及现金流情况，分析标的公司的偿债能力及流动性</w:t>
      </w:r>
    </w:p>
    <w:p w14:paraId="41B35609"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大唐微电子最近两年偿债能力相关指标如下：</w:t>
      </w:r>
    </w:p>
    <w:p w14:paraId="17F86FC3" w14:textId="77777777" w:rsidR="00BD3166" w:rsidRDefault="00C64679">
      <w:pPr>
        <w:ind w:firstLineChars="200" w:firstLine="420"/>
        <w:jc w:val="right"/>
        <w:rPr>
          <w:rFonts w:ascii="Times New Roman" w:hAnsi="Times New Roman" w:cs="Times New Roman"/>
        </w:rPr>
      </w:pPr>
      <w:r>
        <w:rPr>
          <w:rFonts w:ascii="Times New Roman" w:hAnsi="Times New Roman" w:cs="Times New Roman" w:hint="eastAsia"/>
        </w:rPr>
        <w:t>单位：万元</w:t>
      </w:r>
    </w:p>
    <w:tbl>
      <w:tblPr>
        <w:tblStyle w:val="ab"/>
        <w:tblW w:w="499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70" w:type="dxa"/>
          <w:bottom w:w="20" w:type="dxa"/>
          <w:right w:w="70" w:type="dxa"/>
        </w:tblCellMar>
        <w:tblLook w:val="04A0" w:firstRow="1" w:lastRow="0" w:firstColumn="1" w:lastColumn="0" w:noHBand="0" w:noVBand="1"/>
      </w:tblPr>
      <w:tblGrid>
        <w:gridCol w:w="3662"/>
        <w:gridCol w:w="2391"/>
        <w:gridCol w:w="2391"/>
      </w:tblGrid>
      <w:tr w:rsidR="00BD3166" w14:paraId="01DBC5EB" w14:textId="77777777">
        <w:trPr>
          <w:cnfStyle w:val="100000000000" w:firstRow="1" w:lastRow="0" w:firstColumn="0" w:lastColumn="0" w:oddVBand="0" w:evenVBand="0" w:oddHBand="0" w:evenHBand="0" w:firstRowFirstColumn="0" w:firstRowLastColumn="0" w:lastRowFirstColumn="0" w:lastRowLastColumn="0"/>
          <w:cantSplit/>
          <w:trHeight w:val="454"/>
        </w:trPr>
        <w:tc>
          <w:tcPr>
            <w:cnfStyle w:val="001000000100" w:firstRow="0" w:lastRow="0" w:firstColumn="1" w:lastColumn="0" w:oddVBand="0" w:evenVBand="0" w:oddHBand="0" w:evenHBand="0" w:firstRowFirstColumn="1" w:firstRowLastColumn="0" w:lastRowFirstColumn="0" w:lastRowLastColumn="0"/>
            <w:tcW w:w="2168" w:type="pct"/>
            <w:vAlign w:val="center"/>
          </w:tcPr>
          <w:p w14:paraId="30E4532C" w14:textId="77777777" w:rsidR="00BD3166" w:rsidRDefault="00C64679" w:rsidP="00E367D8">
            <w:pPr>
              <w:adjustRightInd w:val="0"/>
              <w:snapToGrid w:val="0"/>
              <w:spacing w:line="240" w:lineRule="auto"/>
              <w:jc w:val="center"/>
              <w:rPr>
                <w:b/>
                <w:snapToGrid w:val="0"/>
                <w:color w:val="auto"/>
                <w:kern w:val="0"/>
                <w:szCs w:val="21"/>
              </w:rPr>
            </w:pPr>
            <w:r>
              <w:rPr>
                <w:rFonts w:hint="eastAsia"/>
                <w:b/>
                <w:snapToGrid w:val="0"/>
                <w:kern w:val="0"/>
                <w:szCs w:val="21"/>
              </w:rPr>
              <w:t>项目</w:t>
            </w:r>
          </w:p>
        </w:tc>
        <w:tc>
          <w:tcPr>
            <w:tcW w:w="1416" w:type="pct"/>
            <w:vAlign w:val="center"/>
          </w:tcPr>
          <w:p w14:paraId="425795D4" w14:textId="77777777" w:rsidR="00BD3166" w:rsidRDefault="00C64679" w:rsidP="00E367D8">
            <w:pPr>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1"/>
              </w:rPr>
            </w:pPr>
            <w:r>
              <w:rPr>
                <w:b/>
                <w:snapToGrid w:val="0"/>
                <w:kern w:val="0"/>
                <w:szCs w:val="21"/>
              </w:rPr>
              <w:t>2020</w:t>
            </w:r>
            <w:r>
              <w:rPr>
                <w:rFonts w:hint="eastAsia"/>
                <w:b/>
                <w:snapToGrid w:val="0"/>
                <w:kern w:val="0"/>
                <w:szCs w:val="21"/>
              </w:rPr>
              <w:t>年</w:t>
            </w:r>
            <w:r>
              <w:rPr>
                <w:b/>
                <w:snapToGrid w:val="0"/>
                <w:kern w:val="0"/>
                <w:szCs w:val="21"/>
              </w:rPr>
              <w:t>12</w:t>
            </w:r>
            <w:r>
              <w:rPr>
                <w:rFonts w:hint="eastAsia"/>
                <w:b/>
                <w:snapToGrid w:val="0"/>
                <w:kern w:val="0"/>
                <w:szCs w:val="21"/>
              </w:rPr>
              <w:t>月</w:t>
            </w:r>
            <w:r>
              <w:rPr>
                <w:b/>
                <w:snapToGrid w:val="0"/>
                <w:kern w:val="0"/>
                <w:szCs w:val="21"/>
              </w:rPr>
              <w:t>31</w:t>
            </w:r>
            <w:r>
              <w:rPr>
                <w:rFonts w:hint="eastAsia"/>
                <w:b/>
                <w:snapToGrid w:val="0"/>
                <w:kern w:val="0"/>
                <w:szCs w:val="21"/>
              </w:rPr>
              <w:t>日</w:t>
            </w:r>
          </w:p>
        </w:tc>
        <w:tc>
          <w:tcPr>
            <w:tcW w:w="1416" w:type="pct"/>
            <w:vAlign w:val="center"/>
          </w:tcPr>
          <w:p w14:paraId="351BAD80" w14:textId="77777777" w:rsidR="00BD3166" w:rsidRDefault="00C64679" w:rsidP="00E367D8">
            <w:pPr>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1"/>
              </w:rPr>
            </w:pPr>
            <w:r>
              <w:rPr>
                <w:b/>
                <w:snapToGrid w:val="0"/>
                <w:kern w:val="0"/>
                <w:szCs w:val="21"/>
              </w:rPr>
              <w:t>2019</w:t>
            </w:r>
            <w:r>
              <w:rPr>
                <w:rFonts w:hint="eastAsia"/>
                <w:b/>
                <w:snapToGrid w:val="0"/>
                <w:kern w:val="0"/>
                <w:szCs w:val="21"/>
              </w:rPr>
              <w:t>年</w:t>
            </w:r>
            <w:r>
              <w:rPr>
                <w:b/>
                <w:snapToGrid w:val="0"/>
                <w:kern w:val="0"/>
                <w:szCs w:val="21"/>
              </w:rPr>
              <w:t>12</w:t>
            </w:r>
            <w:r>
              <w:rPr>
                <w:rFonts w:hint="eastAsia"/>
                <w:b/>
                <w:snapToGrid w:val="0"/>
                <w:kern w:val="0"/>
                <w:szCs w:val="21"/>
              </w:rPr>
              <w:t>月</w:t>
            </w:r>
            <w:r>
              <w:rPr>
                <w:b/>
                <w:snapToGrid w:val="0"/>
                <w:kern w:val="0"/>
                <w:szCs w:val="21"/>
              </w:rPr>
              <w:t>31</w:t>
            </w:r>
            <w:r>
              <w:rPr>
                <w:rFonts w:hint="eastAsia"/>
                <w:b/>
                <w:snapToGrid w:val="0"/>
                <w:kern w:val="0"/>
                <w:szCs w:val="21"/>
              </w:rPr>
              <w:t>日</w:t>
            </w:r>
          </w:p>
        </w:tc>
      </w:tr>
      <w:tr w:rsidR="00BD3166" w14:paraId="245FD6F9"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2168" w:type="pct"/>
            <w:vAlign w:val="center"/>
          </w:tcPr>
          <w:p w14:paraId="6744879C" w14:textId="77777777" w:rsidR="00BD3166" w:rsidRDefault="00C64679" w:rsidP="00E367D8">
            <w:pPr>
              <w:adjustRightInd w:val="0"/>
              <w:snapToGrid w:val="0"/>
              <w:spacing w:line="240" w:lineRule="auto"/>
              <w:jc w:val="left"/>
              <w:rPr>
                <w:snapToGrid w:val="0"/>
                <w:color w:val="auto"/>
                <w:kern w:val="0"/>
                <w:szCs w:val="21"/>
              </w:rPr>
            </w:pPr>
            <w:r>
              <w:rPr>
                <w:rFonts w:hint="eastAsia"/>
                <w:snapToGrid w:val="0"/>
                <w:kern w:val="0"/>
                <w:szCs w:val="21"/>
              </w:rPr>
              <w:t>货币资金</w:t>
            </w:r>
          </w:p>
        </w:tc>
        <w:tc>
          <w:tcPr>
            <w:tcW w:w="1416" w:type="pct"/>
            <w:vAlign w:val="center"/>
          </w:tcPr>
          <w:p w14:paraId="4B135134"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1"/>
              </w:rPr>
            </w:pPr>
            <w:r>
              <w:rPr>
                <w:snapToGrid w:val="0"/>
                <w:kern w:val="0"/>
                <w:szCs w:val="21"/>
              </w:rPr>
              <w:t>3,312.81</w:t>
            </w:r>
          </w:p>
        </w:tc>
        <w:tc>
          <w:tcPr>
            <w:tcW w:w="1416" w:type="pct"/>
            <w:vAlign w:val="center"/>
          </w:tcPr>
          <w:p w14:paraId="3F1F0717"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1"/>
              </w:rPr>
            </w:pPr>
            <w:r>
              <w:rPr>
                <w:snapToGrid w:val="0"/>
                <w:kern w:val="0"/>
                <w:szCs w:val="21"/>
              </w:rPr>
              <w:t>12,304.49</w:t>
            </w:r>
          </w:p>
        </w:tc>
      </w:tr>
      <w:tr w:rsidR="00BD3166" w14:paraId="7D859668"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2168" w:type="pct"/>
            <w:vAlign w:val="center"/>
          </w:tcPr>
          <w:p w14:paraId="0BC6CB3A" w14:textId="77777777" w:rsidR="00BD3166" w:rsidRDefault="00C64679" w:rsidP="00E367D8">
            <w:pPr>
              <w:adjustRightInd w:val="0"/>
              <w:snapToGrid w:val="0"/>
              <w:spacing w:line="240" w:lineRule="auto"/>
              <w:jc w:val="left"/>
              <w:rPr>
                <w:snapToGrid w:val="0"/>
                <w:kern w:val="0"/>
                <w:szCs w:val="21"/>
              </w:rPr>
            </w:pPr>
            <w:r>
              <w:rPr>
                <w:rFonts w:hint="eastAsia"/>
                <w:szCs w:val="21"/>
              </w:rPr>
              <w:t>短期借款</w:t>
            </w:r>
          </w:p>
        </w:tc>
        <w:tc>
          <w:tcPr>
            <w:tcW w:w="1416" w:type="pct"/>
            <w:vAlign w:val="center"/>
          </w:tcPr>
          <w:p w14:paraId="646F2F75"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kern w:val="0"/>
                <w:szCs w:val="21"/>
              </w:rPr>
            </w:pPr>
            <w:r>
              <w:rPr>
                <w:snapToGrid w:val="0"/>
                <w:kern w:val="0"/>
                <w:szCs w:val="21"/>
              </w:rPr>
              <w:t>21</w:t>
            </w:r>
            <w:r>
              <w:rPr>
                <w:rFonts w:hint="eastAsia"/>
                <w:snapToGrid w:val="0"/>
                <w:kern w:val="0"/>
                <w:szCs w:val="21"/>
              </w:rPr>
              <w:t>,</w:t>
            </w:r>
            <w:r>
              <w:rPr>
                <w:snapToGrid w:val="0"/>
                <w:kern w:val="0"/>
                <w:szCs w:val="21"/>
              </w:rPr>
              <w:t>924</w:t>
            </w:r>
            <w:r>
              <w:rPr>
                <w:rFonts w:hint="eastAsia"/>
                <w:snapToGrid w:val="0"/>
                <w:kern w:val="0"/>
                <w:szCs w:val="21"/>
              </w:rPr>
              <w:t>.87</w:t>
            </w:r>
          </w:p>
        </w:tc>
        <w:tc>
          <w:tcPr>
            <w:tcW w:w="1416" w:type="pct"/>
            <w:vAlign w:val="center"/>
          </w:tcPr>
          <w:p w14:paraId="187C8EF9"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kern w:val="0"/>
                <w:szCs w:val="21"/>
              </w:rPr>
            </w:pPr>
            <w:r>
              <w:rPr>
                <w:snapToGrid w:val="0"/>
                <w:kern w:val="0"/>
                <w:szCs w:val="21"/>
              </w:rPr>
              <w:t>17</w:t>
            </w:r>
            <w:r>
              <w:rPr>
                <w:rFonts w:hint="eastAsia"/>
                <w:snapToGrid w:val="0"/>
                <w:kern w:val="0"/>
                <w:szCs w:val="21"/>
              </w:rPr>
              <w:t>,</w:t>
            </w:r>
            <w:r>
              <w:rPr>
                <w:snapToGrid w:val="0"/>
                <w:kern w:val="0"/>
                <w:szCs w:val="21"/>
              </w:rPr>
              <w:t>530</w:t>
            </w:r>
            <w:r>
              <w:rPr>
                <w:rFonts w:hint="eastAsia"/>
                <w:snapToGrid w:val="0"/>
                <w:kern w:val="0"/>
                <w:szCs w:val="21"/>
              </w:rPr>
              <w:t>.50</w:t>
            </w:r>
          </w:p>
        </w:tc>
      </w:tr>
      <w:tr w:rsidR="00BD3166" w14:paraId="2F75035E"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2168" w:type="pct"/>
            <w:vAlign w:val="center"/>
          </w:tcPr>
          <w:p w14:paraId="08E81D94" w14:textId="77777777" w:rsidR="00BD3166" w:rsidRDefault="00C64679" w:rsidP="00E367D8">
            <w:pPr>
              <w:adjustRightInd w:val="0"/>
              <w:snapToGrid w:val="0"/>
              <w:spacing w:line="240" w:lineRule="auto"/>
              <w:jc w:val="left"/>
              <w:rPr>
                <w:snapToGrid w:val="0"/>
                <w:kern w:val="0"/>
                <w:szCs w:val="21"/>
              </w:rPr>
            </w:pPr>
            <w:r>
              <w:rPr>
                <w:rFonts w:hint="eastAsia"/>
                <w:szCs w:val="21"/>
              </w:rPr>
              <w:t>一年内到期的非流动负债</w:t>
            </w:r>
          </w:p>
        </w:tc>
        <w:tc>
          <w:tcPr>
            <w:tcW w:w="1416" w:type="pct"/>
            <w:vAlign w:val="center"/>
          </w:tcPr>
          <w:p w14:paraId="4BC36BBD"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kern w:val="0"/>
                <w:szCs w:val="21"/>
              </w:rPr>
            </w:pPr>
            <w:r>
              <w:rPr>
                <w:snapToGrid w:val="0"/>
                <w:kern w:val="0"/>
                <w:szCs w:val="21"/>
              </w:rPr>
              <w:t>6</w:t>
            </w:r>
            <w:r>
              <w:rPr>
                <w:rFonts w:hint="eastAsia"/>
                <w:snapToGrid w:val="0"/>
                <w:kern w:val="0"/>
                <w:szCs w:val="21"/>
              </w:rPr>
              <w:t>,</w:t>
            </w:r>
            <w:r>
              <w:rPr>
                <w:snapToGrid w:val="0"/>
                <w:kern w:val="0"/>
                <w:szCs w:val="21"/>
              </w:rPr>
              <w:t>251</w:t>
            </w:r>
            <w:r>
              <w:rPr>
                <w:rFonts w:hint="eastAsia"/>
                <w:snapToGrid w:val="0"/>
                <w:kern w:val="0"/>
                <w:szCs w:val="21"/>
              </w:rPr>
              <w:t>.58</w:t>
            </w:r>
          </w:p>
        </w:tc>
        <w:tc>
          <w:tcPr>
            <w:tcW w:w="1416" w:type="pct"/>
            <w:vAlign w:val="center"/>
          </w:tcPr>
          <w:p w14:paraId="23091B9C"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kern w:val="0"/>
                <w:szCs w:val="21"/>
              </w:rPr>
            </w:pPr>
            <w:r>
              <w:rPr>
                <w:snapToGrid w:val="0"/>
                <w:kern w:val="0"/>
                <w:szCs w:val="21"/>
              </w:rPr>
              <w:t>10</w:t>
            </w:r>
            <w:r>
              <w:rPr>
                <w:rFonts w:hint="eastAsia"/>
                <w:snapToGrid w:val="0"/>
                <w:kern w:val="0"/>
                <w:szCs w:val="21"/>
              </w:rPr>
              <w:t>,5</w:t>
            </w:r>
            <w:r>
              <w:rPr>
                <w:snapToGrid w:val="0"/>
                <w:kern w:val="0"/>
                <w:szCs w:val="21"/>
              </w:rPr>
              <w:t>73</w:t>
            </w:r>
            <w:r>
              <w:rPr>
                <w:rFonts w:hint="eastAsia"/>
                <w:snapToGrid w:val="0"/>
                <w:kern w:val="0"/>
                <w:szCs w:val="21"/>
              </w:rPr>
              <w:t>.</w:t>
            </w:r>
            <w:r>
              <w:rPr>
                <w:snapToGrid w:val="0"/>
                <w:kern w:val="0"/>
                <w:szCs w:val="21"/>
              </w:rPr>
              <w:t>7</w:t>
            </w:r>
            <w:r>
              <w:rPr>
                <w:rFonts w:hint="eastAsia"/>
                <w:snapToGrid w:val="0"/>
                <w:kern w:val="0"/>
                <w:szCs w:val="21"/>
              </w:rPr>
              <w:t>2</w:t>
            </w:r>
          </w:p>
        </w:tc>
      </w:tr>
      <w:tr w:rsidR="00BD3166" w14:paraId="100FCB65"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2168" w:type="pct"/>
            <w:vAlign w:val="center"/>
          </w:tcPr>
          <w:p w14:paraId="370F02DE" w14:textId="77777777" w:rsidR="00BD3166" w:rsidRDefault="00C64679" w:rsidP="00E367D8">
            <w:pPr>
              <w:adjustRightInd w:val="0"/>
              <w:snapToGrid w:val="0"/>
              <w:spacing w:line="240" w:lineRule="auto"/>
              <w:jc w:val="left"/>
              <w:rPr>
                <w:snapToGrid w:val="0"/>
                <w:kern w:val="0"/>
                <w:szCs w:val="21"/>
              </w:rPr>
            </w:pPr>
            <w:r>
              <w:rPr>
                <w:rFonts w:hint="eastAsia"/>
                <w:szCs w:val="21"/>
              </w:rPr>
              <w:t>经营活动产生的现金流量净额</w:t>
            </w:r>
          </w:p>
        </w:tc>
        <w:tc>
          <w:tcPr>
            <w:tcW w:w="1416" w:type="pct"/>
            <w:vAlign w:val="center"/>
          </w:tcPr>
          <w:p w14:paraId="55EDD0B2"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kern w:val="0"/>
                <w:szCs w:val="21"/>
              </w:rPr>
            </w:pPr>
            <w:r>
              <w:rPr>
                <w:snapToGrid w:val="0"/>
                <w:kern w:val="0"/>
                <w:szCs w:val="21"/>
              </w:rPr>
              <w:t>10,712.36</w:t>
            </w:r>
          </w:p>
        </w:tc>
        <w:tc>
          <w:tcPr>
            <w:tcW w:w="1416" w:type="pct"/>
            <w:vAlign w:val="center"/>
          </w:tcPr>
          <w:p w14:paraId="1F6C1289"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kern w:val="0"/>
                <w:szCs w:val="21"/>
              </w:rPr>
            </w:pPr>
            <w:r>
              <w:rPr>
                <w:snapToGrid w:val="0"/>
                <w:kern w:val="0"/>
                <w:szCs w:val="21"/>
              </w:rPr>
              <w:t>15,651.55</w:t>
            </w:r>
          </w:p>
        </w:tc>
      </w:tr>
      <w:tr w:rsidR="00BD3166" w14:paraId="580B9477"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2168" w:type="pct"/>
            <w:vAlign w:val="center"/>
          </w:tcPr>
          <w:p w14:paraId="116342A9" w14:textId="77777777" w:rsidR="00BD3166" w:rsidRDefault="00C64679" w:rsidP="00E367D8">
            <w:pPr>
              <w:adjustRightInd w:val="0"/>
              <w:snapToGrid w:val="0"/>
              <w:spacing w:line="240" w:lineRule="auto"/>
              <w:jc w:val="left"/>
              <w:rPr>
                <w:snapToGrid w:val="0"/>
                <w:color w:val="auto"/>
                <w:kern w:val="0"/>
                <w:szCs w:val="21"/>
              </w:rPr>
            </w:pPr>
            <w:r>
              <w:rPr>
                <w:rFonts w:hint="eastAsia"/>
                <w:snapToGrid w:val="0"/>
                <w:spacing w:val="15"/>
                <w:kern w:val="0"/>
                <w:szCs w:val="21"/>
              </w:rPr>
              <w:t>流动比率（</w:t>
            </w:r>
            <w:proofErr w:type="gramStart"/>
            <w:r>
              <w:rPr>
                <w:rFonts w:hint="eastAsia"/>
                <w:snapToGrid w:val="0"/>
                <w:spacing w:val="15"/>
                <w:kern w:val="0"/>
                <w:szCs w:val="21"/>
              </w:rPr>
              <w:t>倍</w:t>
            </w:r>
            <w:proofErr w:type="gramEnd"/>
            <w:r>
              <w:rPr>
                <w:rFonts w:hint="eastAsia"/>
                <w:snapToGrid w:val="0"/>
                <w:spacing w:val="15"/>
                <w:kern w:val="0"/>
                <w:szCs w:val="21"/>
              </w:rPr>
              <w:t>）</w:t>
            </w:r>
          </w:p>
        </w:tc>
        <w:tc>
          <w:tcPr>
            <w:tcW w:w="1416" w:type="pct"/>
            <w:vAlign w:val="center"/>
          </w:tcPr>
          <w:p w14:paraId="28010811"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1"/>
              </w:rPr>
            </w:pPr>
            <w:r>
              <w:rPr>
                <w:snapToGrid w:val="0"/>
                <w:kern w:val="0"/>
                <w:szCs w:val="20"/>
              </w:rPr>
              <w:t>1.55</w:t>
            </w:r>
          </w:p>
        </w:tc>
        <w:tc>
          <w:tcPr>
            <w:tcW w:w="1416" w:type="pct"/>
            <w:vAlign w:val="center"/>
          </w:tcPr>
          <w:p w14:paraId="4A9F3045"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1"/>
              </w:rPr>
            </w:pPr>
            <w:r>
              <w:rPr>
                <w:snapToGrid w:val="0"/>
                <w:kern w:val="0"/>
                <w:szCs w:val="20"/>
              </w:rPr>
              <w:t>1.50</w:t>
            </w:r>
          </w:p>
        </w:tc>
      </w:tr>
      <w:tr w:rsidR="00BD3166" w14:paraId="34445CDA"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2168" w:type="pct"/>
            <w:vAlign w:val="center"/>
          </w:tcPr>
          <w:p w14:paraId="4F4B8B6C" w14:textId="77777777" w:rsidR="00BD3166" w:rsidRDefault="00C64679" w:rsidP="00E367D8">
            <w:pPr>
              <w:adjustRightInd w:val="0"/>
              <w:snapToGrid w:val="0"/>
              <w:spacing w:line="240" w:lineRule="auto"/>
              <w:jc w:val="left"/>
              <w:rPr>
                <w:snapToGrid w:val="0"/>
                <w:color w:val="auto"/>
                <w:kern w:val="0"/>
                <w:szCs w:val="21"/>
              </w:rPr>
            </w:pPr>
            <w:r>
              <w:rPr>
                <w:rFonts w:hint="eastAsia"/>
                <w:snapToGrid w:val="0"/>
                <w:spacing w:val="15"/>
                <w:kern w:val="0"/>
                <w:szCs w:val="21"/>
              </w:rPr>
              <w:t>速动比率（</w:t>
            </w:r>
            <w:proofErr w:type="gramStart"/>
            <w:r>
              <w:rPr>
                <w:rFonts w:hint="eastAsia"/>
                <w:snapToGrid w:val="0"/>
                <w:spacing w:val="15"/>
                <w:kern w:val="0"/>
                <w:szCs w:val="21"/>
              </w:rPr>
              <w:t>倍</w:t>
            </w:r>
            <w:proofErr w:type="gramEnd"/>
            <w:r>
              <w:rPr>
                <w:rFonts w:hint="eastAsia"/>
                <w:snapToGrid w:val="0"/>
                <w:spacing w:val="15"/>
                <w:kern w:val="0"/>
                <w:szCs w:val="21"/>
              </w:rPr>
              <w:t>）</w:t>
            </w:r>
          </w:p>
        </w:tc>
        <w:tc>
          <w:tcPr>
            <w:tcW w:w="1416" w:type="pct"/>
            <w:vAlign w:val="center"/>
          </w:tcPr>
          <w:p w14:paraId="2030812F"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1"/>
              </w:rPr>
            </w:pPr>
            <w:r>
              <w:rPr>
                <w:snapToGrid w:val="0"/>
                <w:kern w:val="0"/>
                <w:szCs w:val="20"/>
              </w:rPr>
              <w:t>1.44</w:t>
            </w:r>
          </w:p>
        </w:tc>
        <w:tc>
          <w:tcPr>
            <w:tcW w:w="1416" w:type="pct"/>
            <w:vAlign w:val="center"/>
          </w:tcPr>
          <w:p w14:paraId="7FD89E78"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snapToGrid w:val="0"/>
                <w:color w:val="auto"/>
                <w:kern w:val="0"/>
                <w:szCs w:val="21"/>
              </w:rPr>
            </w:pPr>
            <w:r>
              <w:rPr>
                <w:snapToGrid w:val="0"/>
                <w:kern w:val="0"/>
                <w:szCs w:val="20"/>
              </w:rPr>
              <w:t>1.34</w:t>
            </w:r>
          </w:p>
        </w:tc>
      </w:tr>
      <w:tr w:rsidR="00BD3166" w14:paraId="5CD60418"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2168" w:type="pct"/>
            <w:vAlign w:val="center"/>
          </w:tcPr>
          <w:p w14:paraId="3DAAE964" w14:textId="77777777" w:rsidR="00BD3166" w:rsidRDefault="00C64679" w:rsidP="00E367D8">
            <w:pPr>
              <w:adjustRightInd w:val="0"/>
              <w:snapToGrid w:val="0"/>
              <w:spacing w:line="240" w:lineRule="auto"/>
              <w:jc w:val="left"/>
              <w:rPr>
                <w:bCs/>
                <w:snapToGrid w:val="0"/>
                <w:color w:val="auto"/>
                <w:kern w:val="0"/>
                <w:szCs w:val="21"/>
              </w:rPr>
            </w:pPr>
            <w:r>
              <w:rPr>
                <w:rFonts w:hint="eastAsia"/>
                <w:bCs/>
                <w:snapToGrid w:val="0"/>
                <w:spacing w:val="14"/>
                <w:kern w:val="0"/>
                <w:szCs w:val="21"/>
              </w:rPr>
              <w:t>资产负债率（</w:t>
            </w:r>
            <w:r>
              <w:rPr>
                <w:bCs/>
                <w:snapToGrid w:val="0"/>
                <w:spacing w:val="14"/>
                <w:kern w:val="0"/>
                <w:szCs w:val="21"/>
              </w:rPr>
              <w:t>%</w:t>
            </w:r>
            <w:r>
              <w:rPr>
                <w:rFonts w:hint="eastAsia"/>
                <w:bCs/>
                <w:snapToGrid w:val="0"/>
                <w:spacing w:val="14"/>
                <w:kern w:val="0"/>
                <w:szCs w:val="21"/>
              </w:rPr>
              <w:t>）</w:t>
            </w:r>
          </w:p>
        </w:tc>
        <w:tc>
          <w:tcPr>
            <w:tcW w:w="1416" w:type="pct"/>
            <w:vAlign w:val="center"/>
          </w:tcPr>
          <w:p w14:paraId="60C88522"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bCs/>
                <w:snapToGrid w:val="0"/>
                <w:color w:val="auto"/>
                <w:kern w:val="0"/>
                <w:szCs w:val="21"/>
              </w:rPr>
            </w:pPr>
            <w:r>
              <w:rPr>
                <w:bCs/>
                <w:snapToGrid w:val="0"/>
                <w:kern w:val="0"/>
                <w:szCs w:val="20"/>
              </w:rPr>
              <w:t>70.80</w:t>
            </w:r>
          </w:p>
        </w:tc>
        <w:tc>
          <w:tcPr>
            <w:tcW w:w="1416" w:type="pct"/>
            <w:vAlign w:val="center"/>
          </w:tcPr>
          <w:p w14:paraId="07A84119" w14:textId="77777777" w:rsidR="00BD3166" w:rsidRDefault="00C64679">
            <w:pPr>
              <w:adjustRightInd w:val="0"/>
              <w:snapToGrid w:val="0"/>
              <w:jc w:val="right"/>
              <w:cnfStyle w:val="000000000000" w:firstRow="0" w:lastRow="0" w:firstColumn="0" w:lastColumn="0" w:oddVBand="0" w:evenVBand="0" w:oddHBand="0" w:evenHBand="0" w:firstRowFirstColumn="0" w:firstRowLastColumn="0" w:lastRowFirstColumn="0" w:lastRowLastColumn="0"/>
              <w:rPr>
                <w:bCs/>
                <w:snapToGrid w:val="0"/>
                <w:color w:val="auto"/>
                <w:kern w:val="0"/>
                <w:szCs w:val="21"/>
              </w:rPr>
            </w:pPr>
            <w:r>
              <w:rPr>
                <w:bCs/>
                <w:snapToGrid w:val="0"/>
                <w:kern w:val="0"/>
                <w:szCs w:val="20"/>
              </w:rPr>
              <w:t>67.02</w:t>
            </w:r>
          </w:p>
        </w:tc>
      </w:tr>
    </w:tbl>
    <w:p w14:paraId="1967E669"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截至</w:t>
      </w:r>
      <w:r>
        <w:rPr>
          <w:rFonts w:ascii="Times New Roman" w:hAnsi="Times New Roman" w:cs="Times New Roman" w:hint="eastAsia"/>
          <w:sz w:val="24"/>
        </w:rPr>
        <w:t>2019</w:t>
      </w:r>
      <w:r>
        <w:rPr>
          <w:rFonts w:ascii="Times New Roman" w:hAnsi="Times New Roman" w:cs="Times New Roman" w:hint="eastAsia"/>
          <w:sz w:val="24"/>
        </w:rPr>
        <w:t>年末和</w:t>
      </w:r>
      <w:r>
        <w:rPr>
          <w:rFonts w:ascii="Times New Roman" w:hAnsi="Times New Roman" w:cs="Times New Roman" w:hint="eastAsia"/>
          <w:sz w:val="24"/>
        </w:rPr>
        <w:t>2020</w:t>
      </w:r>
      <w:r>
        <w:rPr>
          <w:rFonts w:ascii="Times New Roman" w:hAnsi="Times New Roman" w:cs="Times New Roman" w:hint="eastAsia"/>
          <w:sz w:val="24"/>
        </w:rPr>
        <w:t>年末，大唐微电子货币资金余额分别为</w:t>
      </w:r>
      <w:r>
        <w:rPr>
          <w:rFonts w:ascii="Times New Roman" w:hAnsi="Times New Roman" w:cs="Times New Roman" w:hint="eastAsia"/>
          <w:sz w:val="24"/>
        </w:rPr>
        <w:t>12,304.49</w:t>
      </w:r>
      <w:r>
        <w:rPr>
          <w:rFonts w:ascii="Times New Roman" w:hAnsi="Times New Roman" w:cs="Times New Roman" w:hint="eastAsia"/>
          <w:sz w:val="24"/>
        </w:rPr>
        <w:t>万元和</w:t>
      </w:r>
      <w:r>
        <w:rPr>
          <w:rFonts w:ascii="Times New Roman" w:hAnsi="Times New Roman" w:cs="Times New Roman" w:hint="eastAsia"/>
          <w:sz w:val="24"/>
        </w:rPr>
        <w:t>3,312.81</w:t>
      </w:r>
      <w:r>
        <w:rPr>
          <w:rFonts w:ascii="Times New Roman" w:hAnsi="Times New Roman" w:cs="Times New Roman" w:hint="eastAsia"/>
          <w:sz w:val="24"/>
        </w:rPr>
        <w:t>万元，短期负债及一年内到期的非流动负债合计分别为</w:t>
      </w:r>
      <w:r>
        <w:rPr>
          <w:rFonts w:ascii="Times New Roman" w:hAnsi="Times New Roman" w:cs="Times New Roman" w:hint="eastAsia"/>
          <w:sz w:val="24"/>
        </w:rPr>
        <w:t>28,176.45</w:t>
      </w:r>
      <w:r>
        <w:rPr>
          <w:rFonts w:ascii="Times New Roman" w:hAnsi="Times New Roman" w:cs="Times New Roman" w:hint="eastAsia"/>
          <w:sz w:val="24"/>
        </w:rPr>
        <w:t>万元和</w:t>
      </w:r>
      <w:r>
        <w:rPr>
          <w:rFonts w:ascii="Times New Roman" w:hAnsi="Times New Roman" w:cs="Times New Roman" w:hint="eastAsia"/>
          <w:sz w:val="24"/>
        </w:rPr>
        <w:t>28,104.22</w:t>
      </w:r>
      <w:r>
        <w:rPr>
          <w:rFonts w:ascii="Times New Roman" w:hAnsi="Times New Roman" w:cs="Times New Roman" w:hint="eastAsia"/>
          <w:sz w:val="24"/>
        </w:rPr>
        <w:t>万元。</w:t>
      </w:r>
      <w:r>
        <w:rPr>
          <w:rFonts w:ascii="Times New Roman" w:hAnsi="Times New Roman" w:cs="Times New Roman" w:hint="eastAsia"/>
          <w:sz w:val="24"/>
        </w:rPr>
        <w:t>2020</w:t>
      </w:r>
      <w:r>
        <w:rPr>
          <w:rFonts w:ascii="Times New Roman" w:hAnsi="Times New Roman" w:cs="Times New Roman" w:hint="eastAsia"/>
          <w:sz w:val="24"/>
        </w:rPr>
        <w:t>年度公司货币资金大幅减少原因主要为向上市公司提供了部分借款用于归还上市公司即将到期金融负债以及补充流动资金。</w:t>
      </w:r>
      <w:r>
        <w:rPr>
          <w:rFonts w:ascii="Times New Roman" w:hAnsi="Times New Roman" w:cs="Times New Roman" w:hint="eastAsia"/>
          <w:sz w:val="24"/>
        </w:rPr>
        <w:t>2019</w:t>
      </w:r>
      <w:r>
        <w:rPr>
          <w:rFonts w:ascii="Times New Roman" w:hAnsi="Times New Roman" w:cs="Times New Roman" w:hint="eastAsia"/>
          <w:sz w:val="24"/>
        </w:rPr>
        <w:t>年度和</w:t>
      </w:r>
      <w:r>
        <w:rPr>
          <w:rFonts w:ascii="Times New Roman" w:hAnsi="Times New Roman" w:cs="Times New Roman" w:hint="eastAsia"/>
          <w:sz w:val="24"/>
        </w:rPr>
        <w:t>2020</w:t>
      </w:r>
      <w:r>
        <w:rPr>
          <w:rFonts w:ascii="Times New Roman" w:hAnsi="Times New Roman" w:cs="Times New Roman" w:hint="eastAsia"/>
          <w:sz w:val="24"/>
        </w:rPr>
        <w:t>年度流动比率分别为</w:t>
      </w:r>
      <w:r>
        <w:rPr>
          <w:rFonts w:ascii="Times New Roman" w:hAnsi="Times New Roman" w:cs="Times New Roman" w:hint="eastAsia"/>
          <w:sz w:val="24"/>
        </w:rPr>
        <w:t>1.50</w:t>
      </w:r>
      <w:r>
        <w:rPr>
          <w:rFonts w:ascii="Times New Roman" w:hAnsi="Times New Roman" w:cs="Times New Roman" w:hint="eastAsia"/>
          <w:sz w:val="24"/>
        </w:rPr>
        <w:t>和</w:t>
      </w:r>
      <w:r>
        <w:rPr>
          <w:rFonts w:ascii="Times New Roman" w:hAnsi="Times New Roman" w:cs="Times New Roman" w:hint="eastAsia"/>
          <w:sz w:val="24"/>
        </w:rPr>
        <w:t>1.55</w:t>
      </w:r>
      <w:r>
        <w:rPr>
          <w:rFonts w:ascii="Times New Roman" w:hAnsi="Times New Roman" w:cs="Times New Roman" w:hint="eastAsia"/>
          <w:sz w:val="24"/>
        </w:rPr>
        <w:t>，速动比率分别为</w:t>
      </w:r>
      <w:r>
        <w:rPr>
          <w:rFonts w:ascii="Times New Roman" w:hAnsi="Times New Roman" w:cs="Times New Roman" w:hint="eastAsia"/>
          <w:sz w:val="24"/>
        </w:rPr>
        <w:t>1.34</w:t>
      </w:r>
      <w:r>
        <w:rPr>
          <w:rFonts w:ascii="Times New Roman" w:hAnsi="Times New Roman" w:cs="Times New Roman" w:hint="eastAsia"/>
          <w:sz w:val="24"/>
        </w:rPr>
        <w:t>和</w:t>
      </w:r>
      <w:r>
        <w:rPr>
          <w:rFonts w:ascii="Times New Roman" w:hAnsi="Times New Roman" w:cs="Times New Roman" w:hint="eastAsia"/>
          <w:sz w:val="24"/>
        </w:rPr>
        <w:t>1.44</w:t>
      </w:r>
      <w:r>
        <w:rPr>
          <w:rFonts w:ascii="Times New Roman" w:hAnsi="Times New Roman" w:cs="Times New Roman" w:hint="eastAsia"/>
          <w:sz w:val="24"/>
        </w:rPr>
        <w:t>，报</w:t>
      </w:r>
      <w:r>
        <w:rPr>
          <w:rFonts w:ascii="Times New Roman" w:hAnsi="Times New Roman" w:cs="Times New Roman" w:hint="eastAsia"/>
          <w:sz w:val="24"/>
        </w:rPr>
        <w:lastRenderedPageBreak/>
        <w:t>告期各期末大唐微电子资产负债率分别为</w:t>
      </w:r>
      <w:r>
        <w:rPr>
          <w:rFonts w:ascii="Times New Roman" w:hAnsi="Times New Roman" w:cs="Times New Roman" w:hint="eastAsia"/>
          <w:sz w:val="24"/>
        </w:rPr>
        <w:t>67.02%</w:t>
      </w:r>
      <w:r>
        <w:rPr>
          <w:rFonts w:ascii="Times New Roman" w:hAnsi="Times New Roman" w:cs="Times New Roman" w:hint="eastAsia"/>
          <w:sz w:val="24"/>
        </w:rPr>
        <w:t>、</w:t>
      </w:r>
      <w:r>
        <w:rPr>
          <w:rFonts w:ascii="Times New Roman" w:hAnsi="Times New Roman" w:cs="Times New Roman" w:hint="eastAsia"/>
          <w:sz w:val="24"/>
        </w:rPr>
        <w:t>70.80%</w:t>
      </w:r>
      <w:r>
        <w:rPr>
          <w:rFonts w:ascii="Times New Roman" w:hAnsi="Times New Roman" w:cs="Times New Roman" w:hint="eastAsia"/>
          <w:sz w:val="24"/>
        </w:rPr>
        <w:t>。从各项偿债能力指标判断，大唐微电子短期偿债能力并不理想，实施本次增资后，大唐微电子将有充足的资金归还带息负债，公司资产负债率将进一步降低，有助于进一步减少财务风险，增强偿债能力。</w:t>
      </w:r>
    </w:p>
    <w:p w14:paraId="41FF0DE1"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三、其他应付款和长期应付款的明细内容、付款方，是否存在关联关系，并就变动情况说明原因及合理性</w:t>
      </w:r>
    </w:p>
    <w:p w14:paraId="70C4525E"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截至</w:t>
      </w:r>
      <w:r>
        <w:rPr>
          <w:rFonts w:ascii="Times New Roman" w:hAnsi="Times New Roman" w:cs="Times New Roman" w:hint="eastAsia"/>
          <w:sz w:val="24"/>
        </w:rPr>
        <w:t>2020</w:t>
      </w:r>
      <w:r>
        <w:rPr>
          <w:rFonts w:ascii="Times New Roman" w:hAnsi="Times New Roman" w:cs="Times New Roman" w:hint="eastAsia"/>
          <w:sz w:val="24"/>
        </w:rPr>
        <w:t>年末，大唐微电子其他应付款和长期应付款主要如下：</w:t>
      </w:r>
    </w:p>
    <w:p w14:paraId="3698D3FD" w14:textId="77777777" w:rsidR="00BD3166" w:rsidRDefault="00C64679">
      <w:pPr>
        <w:ind w:firstLineChars="200" w:firstLine="420"/>
        <w:jc w:val="right"/>
        <w:rPr>
          <w:rFonts w:ascii="Times New Roman" w:hAnsi="Times New Roman" w:cs="Times New Roman"/>
        </w:rPr>
      </w:pPr>
      <w:r>
        <w:rPr>
          <w:rFonts w:ascii="Times New Roman" w:hAnsi="Times New Roman" w:cs="Times New Roman" w:hint="eastAsia"/>
        </w:rPr>
        <w:t>单位：万元</w:t>
      </w:r>
    </w:p>
    <w:tbl>
      <w:tblPr>
        <w:tblStyle w:val="ab"/>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20" w:type="dxa"/>
          <w:left w:w="70" w:type="dxa"/>
          <w:bottom w:w="20" w:type="dxa"/>
          <w:right w:w="70" w:type="dxa"/>
        </w:tblCellMar>
        <w:tblLook w:val="04A0" w:firstRow="1" w:lastRow="0" w:firstColumn="1" w:lastColumn="0" w:noHBand="0" w:noVBand="1"/>
      </w:tblPr>
      <w:tblGrid>
        <w:gridCol w:w="1011"/>
        <w:gridCol w:w="2260"/>
        <w:gridCol w:w="1025"/>
        <w:gridCol w:w="1103"/>
        <w:gridCol w:w="1103"/>
        <w:gridCol w:w="1944"/>
      </w:tblGrid>
      <w:tr w:rsidR="00BD3166" w14:paraId="2DC566C9" w14:textId="77777777">
        <w:trPr>
          <w:cnfStyle w:val="100000000000" w:firstRow="1" w:lastRow="0" w:firstColumn="0" w:lastColumn="0" w:oddVBand="0" w:evenVBand="0" w:oddHBand="0" w:evenHBand="0" w:firstRowFirstColumn="0" w:firstRowLastColumn="0" w:lastRowFirstColumn="0" w:lastRowLastColumn="0"/>
          <w:cantSplit/>
          <w:trHeight w:val="454"/>
        </w:trPr>
        <w:tc>
          <w:tcPr>
            <w:cnfStyle w:val="001000000100" w:firstRow="0" w:lastRow="0" w:firstColumn="1" w:lastColumn="0" w:oddVBand="0" w:evenVBand="0" w:oddHBand="0" w:evenHBand="0" w:firstRowFirstColumn="1" w:firstRowLastColumn="0" w:lastRowFirstColumn="0" w:lastRowLastColumn="0"/>
            <w:tcW w:w="598" w:type="pct"/>
            <w:vAlign w:val="center"/>
          </w:tcPr>
          <w:p w14:paraId="200963DC" w14:textId="77777777" w:rsidR="00BD3166" w:rsidRDefault="00C64679">
            <w:pPr>
              <w:widowControl/>
              <w:adjustRightInd w:val="0"/>
              <w:snapToGrid w:val="0"/>
              <w:jc w:val="center"/>
              <w:rPr>
                <w:b/>
                <w:snapToGrid w:val="0"/>
                <w:color w:val="auto"/>
                <w:kern w:val="0"/>
                <w:szCs w:val="20"/>
              </w:rPr>
            </w:pPr>
            <w:r>
              <w:rPr>
                <w:rFonts w:hint="eastAsia"/>
                <w:b/>
                <w:snapToGrid w:val="0"/>
                <w:kern w:val="0"/>
                <w:szCs w:val="20"/>
              </w:rPr>
              <w:t>科目名称</w:t>
            </w:r>
          </w:p>
        </w:tc>
        <w:tc>
          <w:tcPr>
            <w:tcW w:w="1338" w:type="pct"/>
            <w:vAlign w:val="center"/>
          </w:tcPr>
          <w:p w14:paraId="2348A552"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0"/>
              </w:rPr>
            </w:pPr>
            <w:r>
              <w:rPr>
                <w:rFonts w:hint="eastAsia"/>
                <w:b/>
                <w:snapToGrid w:val="0"/>
                <w:kern w:val="0"/>
                <w:szCs w:val="20"/>
              </w:rPr>
              <w:t>单位名称</w:t>
            </w:r>
          </w:p>
        </w:tc>
        <w:tc>
          <w:tcPr>
            <w:tcW w:w="607" w:type="pct"/>
            <w:vAlign w:val="center"/>
          </w:tcPr>
          <w:p w14:paraId="34FB0FAF"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0"/>
              </w:rPr>
            </w:pPr>
            <w:r>
              <w:rPr>
                <w:rFonts w:hint="eastAsia"/>
                <w:b/>
                <w:snapToGrid w:val="0"/>
                <w:kern w:val="0"/>
                <w:szCs w:val="20"/>
              </w:rPr>
              <w:t>是否存在关联关系</w:t>
            </w:r>
          </w:p>
        </w:tc>
        <w:tc>
          <w:tcPr>
            <w:tcW w:w="653" w:type="pct"/>
            <w:vAlign w:val="center"/>
          </w:tcPr>
          <w:p w14:paraId="1E957EB3"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2020.12.31</w:t>
            </w:r>
          </w:p>
        </w:tc>
        <w:tc>
          <w:tcPr>
            <w:tcW w:w="653" w:type="pct"/>
            <w:vAlign w:val="center"/>
          </w:tcPr>
          <w:p w14:paraId="682A4F80"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0"/>
              </w:rPr>
            </w:pPr>
            <w:r>
              <w:rPr>
                <w:b/>
                <w:snapToGrid w:val="0"/>
                <w:kern w:val="0"/>
                <w:szCs w:val="20"/>
              </w:rPr>
              <w:t>2019.12.31</w:t>
            </w:r>
          </w:p>
        </w:tc>
        <w:tc>
          <w:tcPr>
            <w:tcW w:w="1151" w:type="pct"/>
            <w:vAlign w:val="center"/>
          </w:tcPr>
          <w:p w14:paraId="3A38BD5D" w14:textId="77777777" w:rsidR="00BD3166" w:rsidRDefault="00C64679">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b/>
                <w:snapToGrid w:val="0"/>
                <w:color w:val="auto"/>
                <w:kern w:val="0"/>
                <w:szCs w:val="20"/>
              </w:rPr>
            </w:pPr>
            <w:r>
              <w:rPr>
                <w:rFonts w:hint="eastAsia"/>
                <w:b/>
                <w:snapToGrid w:val="0"/>
                <w:kern w:val="0"/>
                <w:szCs w:val="20"/>
              </w:rPr>
              <w:t>备注</w:t>
            </w:r>
          </w:p>
        </w:tc>
      </w:tr>
      <w:tr w:rsidR="00BD3166" w14:paraId="71CBC115"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598" w:type="pct"/>
            <w:vMerge w:val="restart"/>
            <w:vAlign w:val="center"/>
          </w:tcPr>
          <w:p w14:paraId="216651C7" w14:textId="4F17B525" w:rsidR="00BD3166" w:rsidRDefault="00C64679">
            <w:pPr>
              <w:adjustRightInd w:val="0"/>
              <w:snapToGrid w:val="0"/>
              <w:jc w:val="center"/>
              <w:rPr>
                <w:snapToGrid w:val="0"/>
                <w:color w:val="auto"/>
                <w:kern w:val="0"/>
                <w:szCs w:val="18"/>
              </w:rPr>
            </w:pPr>
            <w:r>
              <w:rPr>
                <w:rFonts w:hint="eastAsia"/>
                <w:snapToGrid w:val="0"/>
                <w:kern w:val="0"/>
                <w:szCs w:val="18"/>
              </w:rPr>
              <w:t>其他应付款</w:t>
            </w:r>
          </w:p>
        </w:tc>
        <w:tc>
          <w:tcPr>
            <w:tcW w:w="1338" w:type="pct"/>
            <w:vAlign w:val="center"/>
          </w:tcPr>
          <w:p w14:paraId="6D5BF8B0" w14:textId="77777777" w:rsidR="00BD3166" w:rsidRDefault="00C64679">
            <w:pPr>
              <w:widowControl/>
              <w:adjustRightInd w:val="0"/>
              <w:snapToGrid w:val="0"/>
              <w:jc w:val="lef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大唐电信科技股份有限公司</w:t>
            </w:r>
          </w:p>
        </w:tc>
        <w:tc>
          <w:tcPr>
            <w:tcW w:w="607" w:type="pct"/>
            <w:vAlign w:val="center"/>
          </w:tcPr>
          <w:p w14:paraId="7C605705"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是</w:t>
            </w:r>
          </w:p>
        </w:tc>
        <w:tc>
          <w:tcPr>
            <w:tcW w:w="653" w:type="pct"/>
            <w:vAlign w:val="center"/>
          </w:tcPr>
          <w:p w14:paraId="16F747FD"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12,624.04</w:t>
            </w:r>
          </w:p>
        </w:tc>
        <w:tc>
          <w:tcPr>
            <w:tcW w:w="653" w:type="pct"/>
            <w:vAlign w:val="center"/>
          </w:tcPr>
          <w:p w14:paraId="2791816A"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12,948.97</w:t>
            </w:r>
          </w:p>
        </w:tc>
        <w:tc>
          <w:tcPr>
            <w:tcW w:w="1151" w:type="pct"/>
            <w:vAlign w:val="center"/>
          </w:tcPr>
          <w:p w14:paraId="141E8472" w14:textId="5B8D2FA5"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其中</w:t>
            </w:r>
            <w:r>
              <w:rPr>
                <w:rFonts w:hint="eastAsia"/>
                <w:snapToGrid w:val="0"/>
                <w:kern w:val="0"/>
                <w:szCs w:val="18"/>
              </w:rPr>
              <w:t>1.2</w:t>
            </w:r>
            <w:r>
              <w:rPr>
                <w:rFonts w:hint="eastAsia"/>
                <w:snapToGrid w:val="0"/>
                <w:kern w:val="0"/>
                <w:szCs w:val="18"/>
              </w:rPr>
              <w:t>亿元为资金拨付款，其余为房租等代垫款项</w:t>
            </w:r>
          </w:p>
        </w:tc>
      </w:tr>
      <w:tr w:rsidR="00BD3166" w14:paraId="012B61B2"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598" w:type="pct"/>
            <w:vMerge/>
            <w:vAlign w:val="center"/>
          </w:tcPr>
          <w:p w14:paraId="30BB4142" w14:textId="77777777" w:rsidR="00BD3166" w:rsidRDefault="00BD3166">
            <w:pPr>
              <w:adjustRightInd w:val="0"/>
              <w:snapToGrid w:val="0"/>
              <w:jc w:val="center"/>
              <w:rPr>
                <w:snapToGrid w:val="0"/>
                <w:color w:val="auto"/>
                <w:kern w:val="0"/>
                <w:szCs w:val="18"/>
              </w:rPr>
            </w:pPr>
          </w:p>
        </w:tc>
        <w:tc>
          <w:tcPr>
            <w:tcW w:w="1338" w:type="pct"/>
            <w:vAlign w:val="center"/>
          </w:tcPr>
          <w:p w14:paraId="1AC359EB" w14:textId="77777777" w:rsidR="00BD3166" w:rsidRDefault="00C64679">
            <w:pPr>
              <w:widowControl/>
              <w:adjustRightInd w:val="0"/>
              <w:snapToGrid w:val="0"/>
              <w:jc w:val="lef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北京神州泰岳软件股份有限公司</w:t>
            </w:r>
          </w:p>
        </w:tc>
        <w:tc>
          <w:tcPr>
            <w:tcW w:w="607" w:type="pct"/>
            <w:vAlign w:val="center"/>
          </w:tcPr>
          <w:p w14:paraId="535D5726"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否</w:t>
            </w:r>
          </w:p>
        </w:tc>
        <w:tc>
          <w:tcPr>
            <w:tcW w:w="653" w:type="pct"/>
            <w:vAlign w:val="center"/>
          </w:tcPr>
          <w:p w14:paraId="3EE53149"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9,757.84</w:t>
            </w:r>
          </w:p>
        </w:tc>
        <w:tc>
          <w:tcPr>
            <w:tcW w:w="653" w:type="pct"/>
            <w:vAlign w:val="center"/>
          </w:tcPr>
          <w:p w14:paraId="79A0873F"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9,757.84</w:t>
            </w:r>
          </w:p>
        </w:tc>
        <w:tc>
          <w:tcPr>
            <w:tcW w:w="1151" w:type="pct"/>
            <w:vAlign w:val="center"/>
          </w:tcPr>
          <w:p w14:paraId="1E7171E7"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详见问题</w:t>
            </w:r>
            <w:r>
              <w:rPr>
                <w:snapToGrid w:val="0"/>
                <w:kern w:val="0"/>
                <w:szCs w:val="18"/>
              </w:rPr>
              <w:t>4</w:t>
            </w:r>
          </w:p>
        </w:tc>
      </w:tr>
      <w:tr w:rsidR="00BD3166" w14:paraId="1E343581"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598" w:type="pct"/>
            <w:vMerge/>
            <w:vAlign w:val="center"/>
          </w:tcPr>
          <w:p w14:paraId="784F94AB" w14:textId="77777777" w:rsidR="00BD3166" w:rsidRDefault="00BD3166">
            <w:pPr>
              <w:adjustRightInd w:val="0"/>
              <w:snapToGrid w:val="0"/>
              <w:jc w:val="center"/>
              <w:rPr>
                <w:snapToGrid w:val="0"/>
                <w:color w:val="auto"/>
                <w:kern w:val="0"/>
                <w:szCs w:val="18"/>
              </w:rPr>
            </w:pPr>
          </w:p>
        </w:tc>
        <w:tc>
          <w:tcPr>
            <w:tcW w:w="1338" w:type="pct"/>
            <w:vAlign w:val="center"/>
          </w:tcPr>
          <w:p w14:paraId="20076E5E" w14:textId="77777777" w:rsidR="00BD3166" w:rsidRDefault="00C64679">
            <w:pPr>
              <w:widowControl/>
              <w:adjustRightInd w:val="0"/>
              <w:snapToGrid w:val="0"/>
              <w:jc w:val="lef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大唐半导体设计有限公司</w:t>
            </w:r>
          </w:p>
        </w:tc>
        <w:tc>
          <w:tcPr>
            <w:tcW w:w="607" w:type="pct"/>
            <w:vAlign w:val="center"/>
          </w:tcPr>
          <w:p w14:paraId="5821D01B"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是</w:t>
            </w:r>
          </w:p>
        </w:tc>
        <w:tc>
          <w:tcPr>
            <w:tcW w:w="653" w:type="pct"/>
            <w:vAlign w:val="center"/>
          </w:tcPr>
          <w:p w14:paraId="24399259"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8,701.42</w:t>
            </w:r>
          </w:p>
        </w:tc>
        <w:tc>
          <w:tcPr>
            <w:tcW w:w="653" w:type="pct"/>
            <w:vAlign w:val="center"/>
          </w:tcPr>
          <w:p w14:paraId="4FB02172"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8,701.42</w:t>
            </w:r>
          </w:p>
        </w:tc>
        <w:tc>
          <w:tcPr>
            <w:tcW w:w="1151" w:type="pct"/>
            <w:vAlign w:val="center"/>
          </w:tcPr>
          <w:p w14:paraId="32FFE656"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其中</w:t>
            </w:r>
            <w:r>
              <w:rPr>
                <w:rFonts w:hint="eastAsia"/>
                <w:snapToGrid w:val="0"/>
                <w:kern w:val="0"/>
                <w:szCs w:val="18"/>
              </w:rPr>
              <w:t>0.8</w:t>
            </w:r>
            <w:r>
              <w:rPr>
                <w:rFonts w:hint="eastAsia"/>
                <w:snapToGrid w:val="0"/>
                <w:kern w:val="0"/>
                <w:szCs w:val="18"/>
              </w:rPr>
              <w:t>亿元为资金拨付款，其余为代垫款项</w:t>
            </w:r>
          </w:p>
        </w:tc>
      </w:tr>
      <w:tr w:rsidR="00BD3166" w14:paraId="5B89B12A"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598" w:type="pct"/>
            <w:vMerge/>
            <w:vAlign w:val="center"/>
          </w:tcPr>
          <w:p w14:paraId="53F55B8C" w14:textId="77777777" w:rsidR="00BD3166" w:rsidRDefault="00BD3166">
            <w:pPr>
              <w:adjustRightInd w:val="0"/>
              <w:snapToGrid w:val="0"/>
              <w:jc w:val="center"/>
              <w:rPr>
                <w:snapToGrid w:val="0"/>
                <w:color w:val="auto"/>
                <w:kern w:val="0"/>
                <w:szCs w:val="18"/>
              </w:rPr>
            </w:pPr>
          </w:p>
        </w:tc>
        <w:tc>
          <w:tcPr>
            <w:tcW w:w="1338" w:type="pct"/>
            <w:vAlign w:val="center"/>
          </w:tcPr>
          <w:p w14:paraId="06C5E0DB" w14:textId="77777777" w:rsidR="00BD3166" w:rsidRDefault="00C64679">
            <w:pPr>
              <w:widowControl/>
              <w:adjustRightInd w:val="0"/>
              <w:snapToGrid w:val="0"/>
              <w:jc w:val="lef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ARM  LIMITED</w:t>
            </w:r>
          </w:p>
        </w:tc>
        <w:tc>
          <w:tcPr>
            <w:tcW w:w="607" w:type="pct"/>
            <w:vAlign w:val="center"/>
          </w:tcPr>
          <w:p w14:paraId="704FE09C"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否</w:t>
            </w:r>
          </w:p>
        </w:tc>
        <w:tc>
          <w:tcPr>
            <w:tcW w:w="653" w:type="pct"/>
            <w:vAlign w:val="center"/>
          </w:tcPr>
          <w:p w14:paraId="4368C392"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1,007.97</w:t>
            </w:r>
          </w:p>
        </w:tc>
        <w:tc>
          <w:tcPr>
            <w:tcW w:w="653" w:type="pct"/>
            <w:vAlign w:val="center"/>
          </w:tcPr>
          <w:p w14:paraId="25239E78"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1,246.94</w:t>
            </w:r>
          </w:p>
        </w:tc>
        <w:tc>
          <w:tcPr>
            <w:tcW w:w="1151" w:type="pct"/>
            <w:vAlign w:val="center"/>
          </w:tcPr>
          <w:p w14:paraId="628320AE"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许可使用费</w:t>
            </w:r>
          </w:p>
        </w:tc>
      </w:tr>
      <w:tr w:rsidR="00BD3166" w14:paraId="3DC35769"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598" w:type="pct"/>
            <w:vMerge/>
            <w:vAlign w:val="center"/>
          </w:tcPr>
          <w:p w14:paraId="4C5E7F0F" w14:textId="77777777" w:rsidR="00BD3166" w:rsidRDefault="00BD3166">
            <w:pPr>
              <w:widowControl/>
              <w:adjustRightInd w:val="0"/>
              <w:snapToGrid w:val="0"/>
              <w:jc w:val="center"/>
              <w:rPr>
                <w:snapToGrid w:val="0"/>
                <w:color w:val="auto"/>
                <w:kern w:val="0"/>
                <w:szCs w:val="18"/>
              </w:rPr>
            </w:pPr>
          </w:p>
        </w:tc>
        <w:tc>
          <w:tcPr>
            <w:tcW w:w="1338" w:type="pct"/>
            <w:vAlign w:val="center"/>
          </w:tcPr>
          <w:p w14:paraId="603D4461" w14:textId="77777777" w:rsidR="00BD3166" w:rsidRDefault="00C64679">
            <w:pPr>
              <w:widowControl/>
              <w:adjustRightInd w:val="0"/>
              <w:snapToGrid w:val="0"/>
              <w:jc w:val="lef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易联众信息技术股份有限公司</w:t>
            </w:r>
          </w:p>
        </w:tc>
        <w:tc>
          <w:tcPr>
            <w:tcW w:w="607" w:type="pct"/>
            <w:vAlign w:val="center"/>
          </w:tcPr>
          <w:p w14:paraId="29752697"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否</w:t>
            </w:r>
          </w:p>
        </w:tc>
        <w:tc>
          <w:tcPr>
            <w:tcW w:w="653" w:type="pct"/>
            <w:vAlign w:val="center"/>
          </w:tcPr>
          <w:p w14:paraId="0E56312C"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366.00</w:t>
            </w:r>
          </w:p>
        </w:tc>
        <w:tc>
          <w:tcPr>
            <w:tcW w:w="653" w:type="pct"/>
            <w:vAlign w:val="center"/>
          </w:tcPr>
          <w:p w14:paraId="1BA90EF2"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725.52</w:t>
            </w:r>
          </w:p>
        </w:tc>
        <w:tc>
          <w:tcPr>
            <w:tcW w:w="1151" w:type="pct"/>
            <w:vAlign w:val="center"/>
          </w:tcPr>
          <w:p w14:paraId="3FAF28F7"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代理费</w:t>
            </w:r>
          </w:p>
        </w:tc>
      </w:tr>
      <w:tr w:rsidR="00BD3166" w14:paraId="77BFC5C9"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598" w:type="pct"/>
            <w:vAlign w:val="center"/>
          </w:tcPr>
          <w:p w14:paraId="09FD1C28" w14:textId="77777777" w:rsidR="00BD3166" w:rsidRDefault="00C64679">
            <w:pPr>
              <w:widowControl/>
              <w:adjustRightInd w:val="0"/>
              <w:snapToGrid w:val="0"/>
              <w:jc w:val="center"/>
              <w:rPr>
                <w:b/>
                <w:bCs/>
                <w:snapToGrid w:val="0"/>
                <w:color w:val="auto"/>
                <w:kern w:val="0"/>
                <w:szCs w:val="18"/>
              </w:rPr>
            </w:pPr>
            <w:r>
              <w:rPr>
                <w:rFonts w:hint="eastAsia"/>
                <w:b/>
                <w:bCs/>
                <w:snapToGrid w:val="0"/>
                <w:kern w:val="0"/>
                <w:szCs w:val="18"/>
              </w:rPr>
              <w:t>其他应付款合计</w:t>
            </w:r>
          </w:p>
        </w:tc>
        <w:tc>
          <w:tcPr>
            <w:tcW w:w="1338" w:type="pct"/>
            <w:vAlign w:val="center"/>
          </w:tcPr>
          <w:p w14:paraId="4E2DE92C" w14:textId="77777777" w:rsidR="00BD3166" w:rsidRDefault="00BD3166">
            <w:pPr>
              <w:widowControl/>
              <w:adjustRightInd w:val="0"/>
              <w:snapToGrid w:val="0"/>
              <w:jc w:val="left"/>
              <w:cnfStyle w:val="000000000000" w:firstRow="0" w:lastRow="0" w:firstColumn="0" w:lastColumn="0" w:oddVBand="0" w:evenVBand="0" w:oddHBand="0" w:evenHBand="0" w:firstRowFirstColumn="0" w:firstRowLastColumn="0" w:lastRowFirstColumn="0" w:lastRowLastColumn="0"/>
              <w:rPr>
                <w:b/>
                <w:bCs/>
                <w:snapToGrid w:val="0"/>
                <w:color w:val="auto"/>
                <w:kern w:val="0"/>
                <w:szCs w:val="18"/>
              </w:rPr>
            </w:pPr>
          </w:p>
        </w:tc>
        <w:tc>
          <w:tcPr>
            <w:tcW w:w="607" w:type="pct"/>
            <w:vAlign w:val="center"/>
          </w:tcPr>
          <w:p w14:paraId="52571121" w14:textId="77777777" w:rsidR="00BD3166" w:rsidRDefault="00BD3166">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napToGrid w:val="0"/>
                <w:color w:val="auto"/>
                <w:kern w:val="0"/>
                <w:szCs w:val="18"/>
              </w:rPr>
            </w:pPr>
          </w:p>
        </w:tc>
        <w:tc>
          <w:tcPr>
            <w:tcW w:w="653" w:type="pct"/>
            <w:vAlign w:val="center"/>
          </w:tcPr>
          <w:p w14:paraId="7138F826"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napToGrid w:val="0"/>
                <w:color w:val="auto"/>
                <w:kern w:val="0"/>
                <w:szCs w:val="18"/>
              </w:rPr>
            </w:pPr>
            <w:r>
              <w:rPr>
                <w:b/>
                <w:bCs/>
                <w:snapToGrid w:val="0"/>
                <w:kern w:val="0"/>
                <w:szCs w:val="18"/>
              </w:rPr>
              <w:t>32,457.26</w:t>
            </w:r>
          </w:p>
        </w:tc>
        <w:tc>
          <w:tcPr>
            <w:tcW w:w="653" w:type="pct"/>
            <w:vAlign w:val="center"/>
          </w:tcPr>
          <w:p w14:paraId="3194CFDA"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napToGrid w:val="0"/>
                <w:color w:val="auto"/>
                <w:kern w:val="0"/>
                <w:szCs w:val="18"/>
              </w:rPr>
            </w:pPr>
            <w:r>
              <w:rPr>
                <w:b/>
                <w:bCs/>
                <w:snapToGrid w:val="0"/>
                <w:kern w:val="0"/>
                <w:szCs w:val="18"/>
              </w:rPr>
              <w:t>33,380.68</w:t>
            </w:r>
          </w:p>
        </w:tc>
        <w:tc>
          <w:tcPr>
            <w:tcW w:w="1151" w:type="pct"/>
            <w:vAlign w:val="center"/>
          </w:tcPr>
          <w:p w14:paraId="34F6B663" w14:textId="77777777" w:rsidR="00BD3166" w:rsidRDefault="00BD3166">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
                <w:bCs/>
                <w:snapToGrid w:val="0"/>
                <w:color w:val="auto"/>
                <w:kern w:val="0"/>
                <w:szCs w:val="18"/>
              </w:rPr>
            </w:pPr>
          </w:p>
        </w:tc>
      </w:tr>
      <w:tr w:rsidR="00BD3166" w14:paraId="1FE6A7BD"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598" w:type="pct"/>
            <w:vAlign w:val="center"/>
          </w:tcPr>
          <w:p w14:paraId="13139759" w14:textId="77777777" w:rsidR="00BD3166" w:rsidRDefault="00C64679">
            <w:pPr>
              <w:widowControl/>
              <w:adjustRightInd w:val="0"/>
              <w:snapToGrid w:val="0"/>
              <w:jc w:val="center"/>
              <w:rPr>
                <w:snapToGrid w:val="0"/>
                <w:color w:val="auto"/>
                <w:kern w:val="0"/>
                <w:szCs w:val="18"/>
              </w:rPr>
            </w:pPr>
            <w:r>
              <w:rPr>
                <w:rFonts w:hint="eastAsia"/>
                <w:snapToGrid w:val="0"/>
                <w:kern w:val="0"/>
                <w:szCs w:val="18"/>
              </w:rPr>
              <w:t>长期应付款</w:t>
            </w:r>
          </w:p>
        </w:tc>
        <w:tc>
          <w:tcPr>
            <w:tcW w:w="1338" w:type="pct"/>
            <w:vAlign w:val="center"/>
          </w:tcPr>
          <w:p w14:paraId="71A1F763" w14:textId="77777777" w:rsidR="00BD3166" w:rsidRDefault="00C64679">
            <w:pPr>
              <w:widowControl/>
              <w:adjustRightInd w:val="0"/>
              <w:snapToGrid w:val="0"/>
              <w:jc w:val="left"/>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芯</w:t>
            </w:r>
            <w:proofErr w:type="gramStart"/>
            <w:r>
              <w:rPr>
                <w:rFonts w:hint="eastAsia"/>
                <w:snapToGrid w:val="0"/>
                <w:kern w:val="0"/>
                <w:szCs w:val="18"/>
              </w:rPr>
              <w:t>鑫</w:t>
            </w:r>
            <w:proofErr w:type="gramEnd"/>
            <w:r>
              <w:rPr>
                <w:rFonts w:hint="eastAsia"/>
                <w:snapToGrid w:val="0"/>
                <w:kern w:val="0"/>
                <w:szCs w:val="18"/>
              </w:rPr>
              <w:t>融资租赁（天津）有限责任公司融资</w:t>
            </w:r>
          </w:p>
        </w:tc>
        <w:tc>
          <w:tcPr>
            <w:tcW w:w="607" w:type="pct"/>
            <w:vAlign w:val="center"/>
          </w:tcPr>
          <w:p w14:paraId="6D9C8ACC"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否</w:t>
            </w:r>
          </w:p>
        </w:tc>
        <w:tc>
          <w:tcPr>
            <w:tcW w:w="653" w:type="pct"/>
            <w:vAlign w:val="center"/>
          </w:tcPr>
          <w:p w14:paraId="29859B70"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snapToGrid w:val="0"/>
                <w:kern w:val="0"/>
                <w:szCs w:val="18"/>
              </w:rPr>
              <w:t>8,716.63</w:t>
            </w:r>
          </w:p>
        </w:tc>
        <w:tc>
          <w:tcPr>
            <w:tcW w:w="653" w:type="pct"/>
            <w:vAlign w:val="center"/>
          </w:tcPr>
          <w:p w14:paraId="05A8DDC0" w14:textId="77777777" w:rsidR="00BD3166" w:rsidRDefault="00BD3166">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p>
        </w:tc>
        <w:tc>
          <w:tcPr>
            <w:tcW w:w="1151" w:type="pct"/>
            <w:vAlign w:val="center"/>
          </w:tcPr>
          <w:p w14:paraId="3A4FBBDC"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snapToGrid w:val="0"/>
                <w:color w:val="auto"/>
                <w:kern w:val="0"/>
                <w:szCs w:val="18"/>
              </w:rPr>
            </w:pPr>
            <w:r>
              <w:rPr>
                <w:rFonts w:hint="eastAsia"/>
                <w:snapToGrid w:val="0"/>
                <w:kern w:val="0"/>
                <w:szCs w:val="18"/>
              </w:rPr>
              <w:t>融资租赁款</w:t>
            </w:r>
          </w:p>
        </w:tc>
      </w:tr>
      <w:tr w:rsidR="00BD3166" w14:paraId="539A1F8C" w14:textId="77777777">
        <w:trPr>
          <w:cantSplit/>
          <w:trHeight w:val="454"/>
        </w:trPr>
        <w:tc>
          <w:tcPr>
            <w:cnfStyle w:val="001000000000" w:firstRow="0" w:lastRow="0" w:firstColumn="1" w:lastColumn="0" w:oddVBand="0" w:evenVBand="0" w:oddHBand="0" w:evenHBand="0" w:firstRowFirstColumn="0" w:firstRowLastColumn="0" w:lastRowFirstColumn="0" w:lastRowLastColumn="0"/>
            <w:tcW w:w="598" w:type="pct"/>
            <w:vAlign w:val="center"/>
          </w:tcPr>
          <w:p w14:paraId="6EBDB5B4" w14:textId="77777777" w:rsidR="00BD3166" w:rsidRDefault="00C64679">
            <w:pPr>
              <w:widowControl/>
              <w:adjustRightInd w:val="0"/>
              <w:snapToGrid w:val="0"/>
              <w:jc w:val="center"/>
              <w:rPr>
                <w:bCs/>
                <w:snapToGrid w:val="0"/>
                <w:color w:val="auto"/>
                <w:kern w:val="0"/>
                <w:szCs w:val="18"/>
              </w:rPr>
            </w:pPr>
            <w:r>
              <w:rPr>
                <w:rFonts w:hint="eastAsia"/>
                <w:bCs/>
                <w:snapToGrid w:val="0"/>
                <w:kern w:val="0"/>
                <w:szCs w:val="18"/>
              </w:rPr>
              <w:t>专项应付款</w:t>
            </w:r>
          </w:p>
        </w:tc>
        <w:tc>
          <w:tcPr>
            <w:tcW w:w="1338" w:type="pct"/>
            <w:vAlign w:val="center"/>
          </w:tcPr>
          <w:p w14:paraId="7EF0B57F" w14:textId="77777777" w:rsidR="00BD3166" w:rsidRDefault="00C64679">
            <w:pPr>
              <w:widowControl/>
              <w:adjustRightInd w:val="0"/>
              <w:snapToGrid w:val="0"/>
              <w:jc w:val="left"/>
              <w:cnfStyle w:val="000000000000" w:firstRow="0" w:lastRow="0" w:firstColumn="0" w:lastColumn="0" w:oddVBand="0" w:evenVBand="0" w:oddHBand="0" w:evenHBand="0" w:firstRowFirstColumn="0" w:firstRowLastColumn="0" w:lastRowFirstColumn="0" w:lastRowLastColumn="0"/>
              <w:rPr>
                <w:bCs/>
                <w:snapToGrid w:val="0"/>
                <w:color w:val="auto"/>
                <w:kern w:val="0"/>
                <w:szCs w:val="18"/>
              </w:rPr>
            </w:pPr>
            <w:r>
              <w:rPr>
                <w:rFonts w:hint="eastAsia"/>
                <w:bCs/>
                <w:snapToGrid w:val="0"/>
                <w:kern w:val="0"/>
                <w:szCs w:val="18"/>
              </w:rPr>
              <w:t>电信科学技术研究院有限公司</w:t>
            </w:r>
          </w:p>
        </w:tc>
        <w:tc>
          <w:tcPr>
            <w:tcW w:w="607" w:type="pct"/>
            <w:vAlign w:val="center"/>
          </w:tcPr>
          <w:p w14:paraId="736FB3C2"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Cs/>
                <w:snapToGrid w:val="0"/>
                <w:color w:val="auto"/>
                <w:kern w:val="0"/>
                <w:szCs w:val="18"/>
              </w:rPr>
            </w:pPr>
            <w:r>
              <w:rPr>
                <w:rFonts w:hint="eastAsia"/>
                <w:bCs/>
                <w:snapToGrid w:val="0"/>
                <w:kern w:val="0"/>
                <w:szCs w:val="18"/>
              </w:rPr>
              <w:t>是</w:t>
            </w:r>
          </w:p>
        </w:tc>
        <w:tc>
          <w:tcPr>
            <w:tcW w:w="653" w:type="pct"/>
            <w:vAlign w:val="center"/>
          </w:tcPr>
          <w:p w14:paraId="1F50059A"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Cs/>
                <w:snapToGrid w:val="0"/>
                <w:color w:val="auto"/>
                <w:kern w:val="0"/>
                <w:szCs w:val="18"/>
              </w:rPr>
            </w:pPr>
            <w:r>
              <w:rPr>
                <w:bCs/>
                <w:snapToGrid w:val="0"/>
                <w:kern w:val="0"/>
                <w:szCs w:val="18"/>
              </w:rPr>
              <w:t>2,009.00</w:t>
            </w:r>
          </w:p>
        </w:tc>
        <w:tc>
          <w:tcPr>
            <w:tcW w:w="653" w:type="pct"/>
            <w:vAlign w:val="center"/>
          </w:tcPr>
          <w:p w14:paraId="5BF39C9E"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Cs/>
                <w:snapToGrid w:val="0"/>
                <w:color w:val="auto"/>
                <w:kern w:val="0"/>
                <w:szCs w:val="18"/>
              </w:rPr>
            </w:pPr>
            <w:r>
              <w:rPr>
                <w:bCs/>
                <w:snapToGrid w:val="0"/>
                <w:kern w:val="0"/>
                <w:szCs w:val="18"/>
              </w:rPr>
              <w:t>2,009.00</w:t>
            </w:r>
          </w:p>
        </w:tc>
        <w:tc>
          <w:tcPr>
            <w:tcW w:w="1151" w:type="pct"/>
            <w:vAlign w:val="center"/>
          </w:tcPr>
          <w:p w14:paraId="2BCC31AA" w14:textId="77777777" w:rsidR="00BD3166" w:rsidRDefault="00C64679">
            <w:pPr>
              <w:widowControl/>
              <w:adjustRightInd w:val="0"/>
              <w:snapToGrid w:val="0"/>
              <w:jc w:val="center"/>
              <w:cnfStyle w:val="000000000000" w:firstRow="0" w:lastRow="0" w:firstColumn="0" w:lastColumn="0" w:oddVBand="0" w:evenVBand="0" w:oddHBand="0" w:evenHBand="0" w:firstRowFirstColumn="0" w:firstRowLastColumn="0" w:lastRowFirstColumn="0" w:lastRowLastColumn="0"/>
              <w:rPr>
                <w:bCs/>
                <w:snapToGrid w:val="0"/>
                <w:color w:val="auto"/>
                <w:kern w:val="0"/>
                <w:szCs w:val="18"/>
              </w:rPr>
            </w:pPr>
            <w:r>
              <w:rPr>
                <w:bCs/>
                <w:snapToGrid w:val="0"/>
                <w:kern w:val="0"/>
                <w:szCs w:val="18"/>
              </w:rPr>
              <w:t>2013</w:t>
            </w:r>
            <w:r>
              <w:rPr>
                <w:rFonts w:hint="eastAsia"/>
                <w:bCs/>
                <w:snapToGrid w:val="0"/>
                <w:kern w:val="0"/>
                <w:szCs w:val="18"/>
              </w:rPr>
              <w:t>年度国有资本经营预算项目资金</w:t>
            </w:r>
          </w:p>
        </w:tc>
      </w:tr>
    </w:tbl>
    <w:p w14:paraId="5AB92110"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2020</w:t>
      </w:r>
      <w:r>
        <w:rPr>
          <w:rFonts w:ascii="Times New Roman" w:hAnsi="Times New Roman" w:cs="Times New Roman" w:hint="eastAsia"/>
          <w:sz w:val="24"/>
        </w:rPr>
        <w:t>年末，大唐微电子其他应付款较</w:t>
      </w:r>
      <w:r>
        <w:rPr>
          <w:rFonts w:ascii="Times New Roman" w:hAnsi="Times New Roman" w:cs="Times New Roman" w:hint="eastAsia"/>
          <w:sz w:val="24"/>
        </w:rPr>
        <w:t>2019</w:t>
      </w:r>
      <w:r>
        <w:rPr>
          <w:rFonts w:ascii="Times New Roman" w:hAnsi="Times New Roman" w:cs="Times New Roman" w:hint="eastAsia"/>
          <w:sz w:val="24"/>
        </w:rPr>
        <w:t>年末减少</w:t>
      </w:r>
      <w:r>
        <w:rPr>
          <w:rFonts w:ascii="Times New Roman" w:hAnsi="Times New Roman" w:cs="Times New Roman" w:hint="eastAsia"/>
          <w:sz w:val="24"/>
        </w:rPr>
        <w:t>923.42</w:t>
      </w:r>
      <w:r>
        <w:rPr>
          <w:rFonts w:ascii="Times New Roman" w:hAnsi="Times New Roman" w:cs="Times New Roman" w:hint="eastAsia"/>
          <w:sz w:val="24"/>
        </w:rPr>
        <w:t>万元，主要系大唐微电子</w:t>
      </w:r>
      <w:r>
        <w:rPr>
          <w:rFonts w:ascii="Times New Roman" w:hAnsi="Times New Roman" w:cs="Times New Roman" w:hint="eastAsia"/>
          <w:sz w:val="24"/>
        </w:rPr>
        <w:t>2020</w:t>
      </w:r>
      <w:r>
        <w:rPr>
          <w:rFonts w:ascii="Times New Roman" w:hAnsi="Times New Roman" w:cs="Times New Roman" w:hint="eastAsia"/>
          <w:sz w:val="24"/>
        </w:rPr>
        <w:t>年度结算与</w:t>
      </w:r>
      <w:r>
        <w:rPr>
          <w:rFonts w:ascii="Times New Roman" w:hAnsi="Times New Roman" w:cs="Times New Roman" w:hint="eastAsia"/>
          <w:sz w:val="24"/>
        </w:rPr>
        <w:t>ARM  LIMITED</w:t>
      </w:r>
      <w:r>
        <w:rPr>
          <w:rFonts w:ascii="Times New Roman" w:hAnsi="Times New Roman" w:cs="Times New Roman" w:hint="eastAsia"/>
          <w:sz w:val="24"/>
        </w:rPr>
        <w:t>之间的许可使用费以及</w:t>
      </w:r>
      <w:proofErr w:type="gramStart"/>
      <w:r>
        <w:rPr>
          <w:rFonts w:ascii="Times New Roman" w:hAnsi="Times New Roman" w:cs="Times New Roman" w:hint="eastAsia"/>
          <w:sz w:val="24"/>
        </w:rPr>
        <w:t>和易联</w:t>
      </w:r>
      <w:proofErr w:type="gramEnd"/>
      <w:r>
        <w:rPr>
          <w:rFonts w:ascii="Times New Roman" w:hAnsi="Times New Roman" w:cs="Times New Roman" w:hint="eastAsia"/>
          <w:sz w:val="24"/>
        </w:rPr>
        <w:t>众信息技术股份有限公司之间的芯片产品销售代理费所致。其中代理费为大唐微电子通过易联众信息技术股份有限公司代理销售金融</w:t>
      </w:r>
      <w:r>
        <w:rPr>
          <w:rFonts w:ascii="Times New Roman" w:hAnsi="Times New Roman" w:cs="Times New Roman" w:hint="eastAsia"/>
          <w:sz w:val="24"/>
        </w:rPr>
        <w:t>IC</w:t>
      </w:r>
      <w:r>
        <w:rPr>
          <w:rFonts w:ascii="Times New Roman" w:hAnsi="Times New Roman" w:cs="Times New Roman" w:hint="eastAsia"/>
          <w:sz w:val="24"/>
        </w:rPr>
        <w:t>卡时所支付的相关费用，列示于其他应付款核算。</w:t>
      </w:r>
      <w:r>
        <w:rPr>
          <w:rFonts w:ascii="Times New Roman" w:hAnsi="Times New Roman" w:cs="Times New Roman" w:hint="eastAsia"/>
          <w:sz w:val="24"/>
        </w:rPr>
        <w:t>2020</w:t>
      </w:r>
      <w:r>
        <w:rPr>
          <w:rFonts w:ascii="Times New Roman" w:hAnsi="Times New Roman" w:cs="Times New Roman" w:hint="eastAsia"/>
          <w:sz w:val="24"/>
        </w:rPr>
        <w:t>年度，大唐微电子长期应付款较</w:t>
      </w:r>
      <w:r>
        <w:rPr>
          <w:rFonts w:ascii="Times New Roman" w:hAnsi="Times New Roman" w:cs="Times New Roman" w:hint="eastAsia"/>
          <w:sz w:val="24"/>
        </w:rPr>
        <w:t>2019</w:t>
      </w:r>
      <w:r>
        <w:rPr>
          <w:rFonts w:ascii="Times New Roman" w:hAnsi="Times New Roman" w:cs="Times New Roman" w:hint="eastAsia"/>
          <w:sz w:val="24"/>
        </w:rPr>
        <w:t>年度增加</w:t>
      </w:r>
      <w:r>
        <w:rPr>
          <w:rFonts w:ascii="Times New Roman" w:hAnsi="Times New Roman" w:cs="Times New Roman" w:hint="eastAsia"/>
          <w:sz w:val="24"/>
        </w:rPr>
        <w:t>8,716.63</w:t>
      </w:r>
      <w:r>
        <w:rPr>
          <w:rFonts w:ascii="Times New Roman" w:hAnsi="Times New Roman" w:cs="Times New Roman" w:hint="eastAsia"/>
          <w:sz w:val="24"/>
        </w:rPr>
        <w:t>万元，主要系</w:t>
      </w:r>
      <w:r>
        <w:rPr>
          <w:rFonts w:ascii="Times New Roman" w:hAnsi="Times New Roman" w:cs="Times New Roman" w:hint="eastAsia"/>
          <w:sz w:val="24"/>
        </w:rPr>
        <w:t>2020</w:t>
      </w:r>
      <w:r>
        <w:rPr>
          <w:rFonts w:ascii="Times New Roman" w:hAnsi="Times New Roman" w:cs="Times New Roman" w:hint="eastAsia"/>
          <w:sz w:val="24"/>
        </w:rPr>
        <w:t>年度大唐微电子新增向芯鑫融资租赁（天津）有限责任公司融资租赁借款所致。</w:t>
      </w:r>
    </w:p>
    <w:p w14:paraId="0B364F89"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lastRenderedPageBreak/>
        <w:t>四、独立财务顾问核查意见</w:t>
      </w:r>
    </w:p>
    <w:p w14:paraId="3D9603C0"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经核查，独立财务顾问认为：报告期内，大唐微电子主营业务不存在变化情况，大唐微电子</w:t>
      </w:r>
      <w:r>
        <w:rPr>
          <w:rFonts w:ascii="Times New Roman" w:eastAsia="宋体" w:hAnsi="Times New Roman" w:cs="Times New Roman" w:hint="eastAsia"/>
          <w:color w:val="000000"/>
          <w:sz w:val="24"/>
          <w:szCs w:val="24"/>
        </w:rPr>
        <w:t>2020</w:t>
      </w:r>
      <w:r>
        <w:rPr>
          <w:rFonts w:ascii="Times New Roman" w:eastAsia="宋体" w:hAnsi="Times New Roman" w:cs="Times New Roman" w:hint="eastAsia"/>
          <w:color w:val="000000"/>
          <w:sz w:val="24"/>
          <w:szCs w:val="24"/>
        </w:rPr>
        <w:t>年度经营活动产生的现金流量净额下降</w:t>
      </w:r>
      <w:proofErr w:type="gramStart"/>
      <w:r>
        <w:rPr>
          <w:rFonts w:ascii="Times New Roman" w:eastAsia="宋体" w:hAnsi="Times New Roman" w:cs="Times New Roman" w:hint="eastAsia"/>
          <w:color w:val="000000"/>
          <w:sz w:val="24"/>
          <w:szCs w:val="24"/>
        </w:rPr>
        <w:t>主要系部分销</w:t>
      </w:r>
      <w:proofErr w:type="gramEnd"/>
      <w:r>
        <w:rPr>
          <w:rFonts w:ascii="Times New Roman" w:eastAsia="宋体" w:hAnsi="Times New Roman" w:cs="Times New Roman" w:hint="eastAsia"/>
          <w:color w:val="000000"/>
          <w:sz w:val="24"/>
          <w:szCs w:val="24"/>
        </w:rPr>
        <w:t>货款未能在报告期末及时收回所致，投资活动现金净流出大幅增加主要系</w:t>
      </w:r>
      <w:r>
        <w:rPr>
          <w:rFonts w:ascii="Times New Roman" w:eastAsia="宋体" w:hAnsi="Times New Roman" w:cs="Times New Roman" w:hint="eastAsia"/>
          <w:color w:val="000000"/>
          <w:sz w:val="24"/>
          <w:szCs w:val="24"/>
        </w:rPr>
        <w:t>2020</w:t>
      </w:r>
      <w:r>
        <w:rPr>
          <w:rFonts w:ascii="Times New Roman" w:eastAsia="宋体" w:hAnsi="Times New Roman" w:cs="Times New Roman" w:hint="eastAsia"/>
          <w:color w:val="000000"/>
          <w:sz w:val="24"/>
          <w:szCs w:val="24"/>
        </w:rPr>
        <w:t>年度向母公司借款所致；实施本次增资后，大唐微电子资产负债率将进一步降低，有助于增强偿债能力。</w:t>
      </w:r>
    </w:p>
    <w:p w14:paraId="3F1AB371"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五、会计师核查意见</w:t>
      </w:r>
    </w:p>
    <w:p w14:paraId="7E62D5F5"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经核查，会计师认为：上述公司的说明与我们执行审计程序时获得的信息在所有重大方面是一致的。大唐微电子营业收入、营业成本、毛利率等主要财务指标的变动符合其主营业务的变化趋势。</w:t>
      </w:r>
    </w:p>
    <w:p w14:paraId="30B70507" w14:textId="77777777" w:rsidR="00BD3166" w:rsidRDefault="00C64679">
      <w:pPr>
        <w:pStyle w:val="aa"/>
        <w:spacing w:beforeLines="50" w:before="156" w:afterLines="50" w:after="156" w:line="360" w:lineRule="auto"/>
        <w:ind w:left="420" w:firstLineChars="0" w:firstLine="0"/>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六、补充披露情况</w:t>
      </w:r>
    </w:p>
    <w:p w14:paraId="78489C1B" w14:textId="77777777" w:rsidR="00BD3166" w:rsidRDefault="00C64679">
      <w:pPr>
        <w:pStyle w:val="aa"/>
        <w:autoSpaceDE w:val="0"/>
        <w:autoSpaceDN w:val="0"/>
        <w:spacing w:beforeLines="50" w:before="156" w:line="360"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公司已在重组报告书“第八节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管理层讨论与分析”之“三、标的公司的财务状况与盈利能力分析”补充披露报告期内标的公司各业务板块的营业收入、营业成本、毛利率等主要财务指标，标的公司的偿债能力及流动性以及其他应付款和长期应付款的明细内容、付款方。</w:t>
      </w:r>
    </w:p>
    <w:p w14:paraId="664F52C4" w14:textId="77777777" w:rsidR="00BD3166" w:rsidRDefault="00C64679">
      <w:pPr>
        <w:spacing w:beforeLines="50" w:before="156" w:afterLines="50" w:after="156" w:line="360" w:lineRule="auto"/>
        <w:ind w:firstLineChars="200" w:firstLine="482"/>
        <w:outlineLvl w:val="0"/>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问题</w:t>
      </w:r>
      <w:r>
        <w:rPr>
          <w:rFonts w:ascii="Times New Roman" w:eastAsia="宋体" w:hAnsi="Times New Roman" w:cs="Times New Roman"/>
          <w:b/>
          <w:color w:val="000000"/>
          <w:sz w:val="24"/>
          <w:szCs w:val="24"/>
        </w:rPr>
        <w:t>7.</w:t>
      </w:r>
      <w:r>
        <w:rPr>
          <w:rFonts w:ascii="Times New Roman" w:eastAsia="宋体" w:hAnsi="Times New Roman" w:cs="Times New Roman"/>
          <w:b/>
          <w:color w:val="000000"/>
          <w:sz w:val="24"/>
          <w:szCs w:val="24"/>
        </w:rPr>
        <w:t>草案披露，标的公司</w:t>
      </w:r>
      <w:r>
        <w:rPr>
          <w:rFonts w:ascii="Times New Roman" w:eastAsia="宋体" w:hAnsi="Times New Roman" w:cs="Times New Roman"/>
          <w:b/>
          <w:color w:val="000000"/>
          <w:sz w:val="24"/>
          <w:szCs w:val="24"/>
        </w:rPr>
        <w:t>2019-2020</w:t>
      </w:r>
      <w:r>
        <w:rPr>
          <w:rFonts w:ascii="Times New Roman" w:eastAsia="宋体" w:hAnsi="Times New Roman" w:cs="Times New Roman"/>
          <w:b/>
          <w:color w:val="000000"/>
          <w:sz w:val="24"/>
          <w:szCs w:val="24"/>
        </w:rPr>
        <w:t>年其他应收款余额分别为</w:t>
      </w:r>
      <w:r>
        <w:rPr>
          <w:rFonts w:ascii="Times New Roman" w:eastAsia="宋体" w:hAnsi="Times New Roman" w:cs="Times New Roman"/>
          <w:b/>
          <w:color w:val="000000"/>
          <w:sz w:val="24"/>
          <w:szCs w:val="24"/>
        </w:rPr>
        <w:t>8.03</w:t>
      </w:r>
      <w:r>
        <w:rPr>
          <w:rFonts w:ascii="Times New Roman" w:eastAsia="宋体" w:hAnsi="Times New Roman" w:cs="Times New Roman"/>
          <w:b/>
          <w:color w:val="000000"/>
          <w:sz w:val="24"/>
          <w:szCs w:val="24"/>
        </w:rPr>
        <w:t>亿元、</w:t>
      </w:r>
      <w:r>
        <w:rPr>
          <w:rFonts w:ascii="Times New Roman" w:eastAsia="宋体" w:hAnsi="Times New Roman" w:cs="Times New Roman"/>
          <w:b/>
          <w:color w:val="000000"/>
          <w:sz w:val="24"/>
          <w:szCs w:val="24"/>
        </w:rPr>
        <w:t>9.83</w:t>
      </w:r>
      <w:r>
        <w:rPr>
          <w:rFonts w:ascii="Times New Roman" w:eastAsia="宋体" w:hAnsi="Times New Roman" w:cs="Times New Roman"/>
          <w:b/>
          <w:color w:val="000000"/>
          <w:sz w:val="24"/>
          <w:szCs w:val="24"/>
        </w:rPr>
        <w:t>亿元，占总资产比例高达</w:t>
      </w:r>
      <w:r>
        <w:rPr>
          <w:rFonts w:ascii="Times New Roman" w:eastAsia="宋体" w:hAnsi="Times New Roman" w:cs="Times New Roman"/>
          <w:b/>
          <w:color w:val="000000"/>
          <w:sz w:val="24"/>
          <w:szCs w:val="24"/>
        </w:rPr>
        <w:t>65.53%</w:t>
      </w:r>
      <w:r>
        <w:rPr>
          <w:rFonts w:ascii="Times New Roman" w:eastAsia="宋体" w:hAnsi="Times New Roman" w:cs="Times New Roman"/>
          <w:b/>
          <w:color w:val="000000"/>
          <w:sz w:val="24"/>
          <w:szCs w:val="24"/>
        </w:rPr>
        <w:t>、</w:t>
      </w:r>
      <w:r>
        <w:rPr>
          <w:rFonts w:ascii="Times New Roman" w:eastAsia="宋体" w:hAnsi="Times New Roman" w:cs="Times New Roman"/>
          <w:b/>
          <w:color w:val="000000"/>
          <w:sz w:val="24"/>
          <w:szCs w:val="24"/>
        </w:rPr>
        <w:t>73.83%</w:t>
      </w:r>
      <w:r>
        <w:rPr>
          <w:rFonts w:ascii="Times New Roman" w:eastAsia="宋体" w:hAnsi="Times New Roman" w:cs="Times New Roman"/>
          <w:b/>
          <w:color w:val="000000"/>
          <w:sz w:val="24"/>
          <w:szCs w:val="24"/>
        </w:rPr>
        <w:t>，主要为与上市公司之间的往来款项。本次增资约定，上市公司或其关联方不得通过各种形式新增占用标的公司资金，已占用资金应予以规范并根据实际情况逐年压缩。请公司补充披露：（</w:t>
      </w: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）逐笔列示标的公司其他应收款的明细内容、金额、收款方、占用性质及期限，说明除上市公司外是否存在其他关联方占用情形；（</w:t>
      </w: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）明确前述往来款项的具体解决安排和期限。请财务顾问和会计师发表意见。</w:t>
      </w:r>
    </w:p>
    <w:p w14:paraId="0C271674" w14:textId="77777777" w:rsidR="00BD3166" w:rsidRDefault="00C64679">
      <w:pPr>
        <w:spacing w:line="360" w:lineRule="auto"/>
        <w:ind w:firstLineChars="200" w:firstLine="482"/>
        <w:rPr>
          <w:rFonts w:ascii="Times New Roman" w:hAnsi="Times New Roman" w:cs="Times New Roman"/>
          <w:b/>
          <w:sz w:val="24"/>
        </w:rPr>
      </w:pPr>
      <w:r>
        <w:rPr>
          <w:rFonts w:ascii="Times New Roman" w:hAnsi="Times New Roman" w:cs="Times New Roman"/>
          <w:b/>
          <w:sz w:val="24"/>
        </w:rPr>
        <w:t>回复</w:t>
      </w:r>
      <w:r>
        <w:rPr>
          <w:rFonts w:ascii="Times New Roman" w:hAnsi="Times New Roman" w:cs="Times New Roman" w:hint="eastAsia"/>
          <w:b/>
          <w:sz w:val="24"/>
        </w:rPr>
        <w:t>：</w:t>
      </w:r>
    </w:p>
    <w:p w14:paraId="52950D2C"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一、逐笔列示标的公司其他应收款的明细内容、金额、收款方、占用性质及期限，说明除上市公司外是否存在其他关联方占用情形</w:t>
      </w:r>
    </w:p>
    <w:p w14:paraId="3B273131" w14:textId="77777777" w:rsidR="00BD3166" w:rsidRDefault="00C64679">
      <w:pPr>
        <w:spacing w:line="360" w:lineRule="auto"/>
        <w:ind w:firstLineChars="200" w:firstLine="480"/>
        <w:rPr>
          <w:rFonts w:ascii="Times New Roman" w:hAnsi="Times New Roman" w:cs="Times New Roman"/>
          <w:sz w:val="24"/>
        </w:rPr>
      </w:pPr>
      <w:r>
        <w:rPr>
          <w:sz w:val="24"/>
        </w:rPr>
        <w:t>截至</w:t>
      </w:r>
      <w:r>
        <w:rPr>
          <w:rFonts w:ascii="Times New Roman" w:hAnsi="Times New Roman" w:cs="Times New Roman" w:hint="eastAsia"/>
          <w:sz w:val="24"/>
        </w:rPr>
        <w:t>2</w:t>
      </w:r>
      <w:r>
        <w:rPr>
          <w:rFonts w:ascii="Times New Roman" w:hAnsi="Times New Roman" w:cs="Times New Roman"/>
          <w:sz w:val="24"/>
        </w:rPr>
        <w:t>019</w:t>
      </w:r>
      <w:r>
        <w:rPr>
          <w:rFonts w:ascii="Times New Roman" w:hAnsi="Times New Roman" w:cs="Times New Roman"/>
          <w:sz w:val="24"/>
        </w:rPr>
        <w:t>年末</w:t>
      </w: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sz w:val="24"/>
        </w:rPr>
        <w:t>020</w:t>
      </w:r>
      <w:r>
        <w:rPr>
          <w:rFonts w:ascii="Times New Roman" w:hAnsi="Times New Roman" w:cs="Times New Roman"/>
          <w:sz w:val="24"/>
        </w:rPr>
        <w:t>年末</w:t>
      </w:r>
      <w:r>
        <w:rPr>
          <w:rFonts w:ascii="Times New Roman" w:hAnsi="Times New Roman" w:cs="Times New Roman" w:hint="eastAsia"/>
          <w:sz w:val="24"/>
        </w:rPr>
        <w:t>，</w:t>
      </w:r>
      <w:r>
        <w:rPr>
          <w:rFonts w:ascii="Times New Roman" w:hAnsi="Times New Roman" w:cs="Times New Roman"/>
          <w:sz w:val="24"/>
        </w:rPr>
        <w:t>大唐微电子其他应收款金额分别为</w:t>
      </w:r>
      <w:r>
        <w:rPr>
          <w:rFonts w:ascii="Times New Roman" w:hAnsi="Times New Roman" w:cs="Times New Roman" w:hint="eastAsia"/>
          <w:sz w:val="24"/>
        </w:rPr>
        <w:t>80,287.41</w:t>
      </w:r>
      <w:r>
        <w:rPr>
          <w:rFonts w:ascii="Times New Roman" w:hAnsi="Times New Roman" w:cs="Times New Roman" w:hint="eastAsia"/>
          <w:sz w:val="24"/>
        </w:rPr>
        <w:lastRenderedPageBreak/>
        <w:t>万元和</w:t>
      </w:r>
      <w:r>
        <w:rPr>
          <w:rFonts w:ascii="Times New Roman" w:hAnsi="Times New Roman" w:cs="Times New Roman" w:hint="eastAsia"/>
          <w:sz w:val="24"/>
        </w:rPr>
        <w:t>98,284.95</w:t>
      </w:r>
      <w:r>
        <w:rPr>
          <w:rFonts w:ascii="Times New Roman" w:hAnsi="Times New Roman" w:cs="Times New Roman" w:hint="eastAsia"/>
          <w:sz w:val="24"/>
        </w:rPr>
        <w:t>万元，占总资产比例分别为</w:t>
      </w:r>
      <w:r>
        <w:rPr>
          <w:rFonts w:ascii="Times New Roman" w:hAnsi="Times New Roman" w:cs="Times New Roman" w:hint="eastAsia"/>
          <w:sz w:val="24"/>
        </w:rPr>
        <w:t>65.53%</w:t>
      </w:r>
      <w:r>
        <w:rPr>
          <w:rFonts w:ascii="Times New Roman" w:hAnsi="Times New Roman" w:cs="Times New Roman" w:hint="eastAsia"/>
          <w:sz w:val="24"/>
        </w:rPr>
        <w:t>和</w:t>
      </w:r>
      <w:r>
        <w:rPr>
          <w:rFonts w:ascii="Times New Roman" w:hAnsi="Times New Roman" w:cs="Times New Roman" w:hint="eastAsia"/>
          <w:sz w:val="24"/>
        </w:rPr>
        <w:t>73.83%</w:t>
      </w:r>
      <w:r>
        <w:rPr>
          <w:rFonts w:ascii="Times New Roman" w:hAnsi="Times New Roman" w:cs="Times New Roman" w:hint="eastAsia"/>
          <w:sz w:val="24"/>
        </w:rPr>
        <w:t>。截至</w:t>
      </w:r>
      <w:r>
        <w:rPr>
          <w:rFonts w:ascii="Times New Roman" w:hAnsi="Times New Roman" w:cs="Times New Roman" w:hint="eastAsia"/>
          <w:sz w:val="24"/>
        </w:rPr>
        <w:t>2</w:t>
      </w:r>
      <w:r>
        <w:rPr>
          <w:rFonts w:ascii="Times New Roman" w:hAnsi="Times New Roman" w:cs="Times New Roman"/>
          <w:sz w:val="24"/>
        </w:rPr>
        <w:t>020</w:t>
      </w:r>
      <w:r>
        <w:rPr>
          <w:rFonts w:ascii="Times New Roman" w:hAnsi="Times New Roman" w:cs="Times New Roman"/>
          <w:sz w:val="24"/>
        </w:rPr>
        <w:t>年末</w:t>
      </w:r>
      <w:r>
        <w:rPr>
          <w:rFonts w:ascii="Times New Roman" w:hAnsi="Times New Roman" w:cs="Times New Roman" w:hint="eastAsia"/>
          <w:sz w:val="24"/>
        </w:rPr>
        <w:t>，</w:t>
      </w:r>
      <w:r>
        <w:rPr>
          <w:rFonts w:ascii="Times New Roman" w:hAnsi="Times New Roman" w:cs="Times New Roman"/>
          <w:sz w:val="24"/>
        </w:rPr>
        <w:t>大唐微电子其他应收款余额的主要构成明细</w:t>
      </w:r>
      <w:r>
        <w:rPr>
          <w:rFonts w:ascii="Times New Roman" w:hAnsi="Times New Roman" w:cs="Times New Roman" w:hint="eastAsia"/>
          <w:sz w:val="24"/>
        </w:rPr>
        <w:t>如下所示：</w:t>
      </w:r>
    </w:p>
    <w:p w14:paraId="69970754" w14:textId="77777777" w:rsidR="00BD3166" w:rsidRDefault="00C64679">
      <w:pPr>
        <w:jc w:val="right"/>
        <w:rPr>
          <w:rFonts w:ascii="Times New Roman" w:hAnsi="Times New Roman" w:cs="Times New Roman"/>
        </w:rPr>
      </w:pPr>
      <w:r>
        <w:rPr>
          <w:rFonts w:ascii="Times New Roman" w:hAnsi="Times New Roman" w:cs="Times New Roman"/>
        </w:rPr>
        <w:t>单位</w:t>
      </w:r>
      <w:r>
        <w:rPr>
          <w:rFonts w:ascii="Times New Roman" w:hAnsi="Times New Roman" w:cs="Times New Roman" w:hint="eastAsia"/>
        </w:rPr>
        <w:t>：万</w:t>
      </w:r>
      <w:r>
        <w:rPr>
          <w:rFonts w:ascii="Times New Roman" w:hAnsi="Times New Roman" w:cs="Times New Roman"/>
        </w:rPr>
        <w:t>元</w:t>
      </w:r>
    </w:p>
    <w:tbl>
      <w:tblPr>
        <w:tblStyle w:val="a8"/>
        <w:tblW w:w="0" w:type="auto"/>
        <w:jc w:val="center"/>
        <w:tblLook w:val="04A0" w:firstRow="1" w:lastRow="0" w:firstColumn="1" w:lastColumn="0" w:noHBand="0" w:noVBand="1"/>
      </w:tblPr>
      <w:tblGrid>
        <w:gridCol w:w="588"/>
        <w:gridCol w:w="1698"/>
        <w:gridCol w:w="2441"/>
        <w:gridCol w:w="1384"/>
        <w:gridCol w:w="1049"/>
        <w:gridCol w:w="1136"/>
      </w:tblGrid>
      <w:tr w:rsidR="00BD3166" w14:paraId="234871D5" w14:textId="77777777">
        <w:trPr>
          <w:trHeight w:val="397"/>
          <w:jc w:val="center"/>
        </w:trPr>
        <w:tc>
          <w:tcPr>
            <w:tcW w:w="588" w:type="dxa"/>
            <w:vAlign w:val="center"/>
          </w:tcPr>
          <w:p w14:paraId="62011C3F" w14:textId="77777777" w:rsidR="00BD3166" w:rsidRDefault="00C64679">
            <w:pPr>
              <w:jc w:val="center"/>
              <w:rPr>
                <w:rFonts w:ascii="Times New Roman" w:hAnsi="Times New Roman" w:cs="Times New Roman"/>
                <w:b/>
                <w:szCs w:val="21"/>
              </w:rPr>
            </w:pPr>
            <w:r>
              <w:rPr>
                <w:rFonts w:ascii="Times New Roman" w:hAnsi="Times New Roman" w:cs="Times New Roman"/>
                <w:b/>
                <w:szCs w:val="21"/>
              </w:rPr>
              <w:t>序号</w:t>
            </w:r>
          </w:p>
        </w:tc>
        <w:tc>
          <w:tcPr>
            <w:tcW w:w="1698" w:type="dxa"/>
            <w:vAlign w:val="center"/>
          </w:tcPr>
          <w:p w14:paraId="5FA58AF4" w14:textId="77777777" w:rsidR="00BD3166" w:rsidRDefault="00C64679">
            <w:pPr>
              <w:jc w:val="center"/>
              <w:rPr>
                <w:rFonts w:ascii="Times New Roman" w:hAnsi="Times New Roman" w:cs="Times New Roman"/>
                <w:b/>
                <w:szCs w:val="21"/>
              </w:rPr>
            </w:pPr>
            <w:r>
              <w:rPr>
                <w:rFonts w:ascii="Times New Roman" w:hAnsi="Times New Roman" w:cs="Times New Roman"/>
                <w:b/>
                <w:szCs w:val="21"/>
              </w:rPr>
              <w:t>收款方</w:t>
            </w:r>
          </w:p>
        </w:tc>
        <w:tc>
          <w:tcPr>
            <w:tcW w:w="2441" w:type="dxa"/>
            <w:vAlign w:val="center"/>
          </w:tcPr>
          <w:p w14:paraId="6CD0AC52" w14:textId="77777777" w:rsidR="00BD3166" w:rsidRDefault="00C64679">
            <w:pPr>
              <w:jc w:val="center"/>
              <w:rPr>
                <w:rFonts w:ascii="Times New Roman" w:hAnsi="Times New Roman" w:cs="Times New Roman"/>
                <w:b/>
                <w:szCs w:val="21"/>
              </w:rPr>
            </w:pPr>
            <w:r>
              <w:rPr>
                <w:rFonts w:ascii="Times New Roman" w:hAnsi="Times New Roman" w:cs="Times New Roman"/>
                <w:b/>
                <w:szCs w:val="21"/>
              </w:rPr>
              <w:t>账面余额</w:t>
            </w:r>
          </w:p>
        </w:tc>
        <w:tc>
          <w:tcPr>
            <w:tcW w:w="1384" w:type="dxa"/>
            <w:vAlign w:val="center"/>
          </w:tcPr>
          <w:p w14:paraId="1C6FC565" w14:textId="77777777" w:rsidR="00BD3166" w:rsidRDefault="00C64679">
            <w:pPr>
              <w:jc w:val="center"/>
              <w:rPr>
                <w:rFonts w:ascii="Times New Roman" w:hAnsi="Times New Roman" w:cs="Times New Roman"/>
                <w:b/>
                <w:szCs w:val="21"/>
              </w:rPr>
            </w:pPr>
            <w:r>
              <w:rPr>
                <w:rFonts w:ascii="Times New Roman" w:hAnsi="Times New Roman" w:cs="Times New Roman"/>
                <w:b/>
                <w:szCs w:val="21"/>
              </w:rPr>
              <w:t>款项性质</w:t>
            </w:r>
          </w:p>
        </w:tc>
        <w:tc>
          <w:tcPr>
            <w:tcW w:w="1049" w:type="dxa"/>
            <w:vAlign w:val="center"/>
          </w:tcPr>
          <w:p w14:paraId="06F4740F" w14:textId="77777777" w:rsidR="00BD3166" w:rsidRDefault="00C64679">
            <w:pPr>
              <w:jc w:val="center"/>
              <w:rPr>
                <w:rFonts w:ascii="Times New Roman" w:hAnsi="Times New Roman" w:cs="Times New Roman"/>
                <w:b/>
                <w:szCs w:val="21"/>
              </w:rPr>
            </w:pPr>
            <w:r>
              <w:rPr>
                <w:rFonts w:ascii="Times New Roman" w:hAnsi="Times New Roman" w:cs="Times New Roman"/>
                <w:b/>
                <w:szCs w:val="21"/>
              </w:rPr>
              <w:t>账龄</w:t>
            </w:r>
          </w:p>
        </w:tc>
        <w:tc>
          <w:tcPr>
            <w:tcW w:w="1136" w:type="dxa"/>
            <w:vAlign w:val="center"/>
          </w:tcPr>
          <w:p w14:paraId="6B15180C" w14:textId="77777777" w:rsidR="00BD3166" w:rsidRDefault="00C64679">
            <w:pPr>
              <w:jc w:val="center"/>
              <w:rPr>
                <w:rFonts w:ascii="Times New Roman" w:hAnsi="Times New Roman" w:cs="Times New Roman"/>
                <w:b/>
                <w:szCs w:val="21"/>
              </w:rPr>
            </w:pPr>
            <w:r>
              <w:rPr>
                <w:rFonts w:ascii="Times New Roman" w:hAnsi="Times New Roman" w:cs="Times New Roman"/>
                <w:b/>
                <w:szCs w:val="21"/>
              </w:rPr>
              <w:t>占比</w:t>
            </w:r>
          </w:p>
        </w:tc>
      </w:tr>
      <w:tr w:rsidR="00BD3166" w14:paraId="25916C3C" w14:textId="77777777">
        <w:trPr>
          <w:trHeight w:val="397"/>
          <w:jc w:val="center"/>
        </w:trPr>
        <w:tc>
          <w:tcPr>
            <w:tcW w:w="588" w:type="dxa"/>
            <w:vMerge w:val="restart"/>
            <w:vAlign w:val="center"/>
          </w:tcPr>
          <w:p w14:paraId="2D43BA64" w14:textId="77777777" w:rsidR="00BD3166" w:rsidRDefault="00C64679">
            <w:pPr>
              <w:jc w:val="center"/>
              <w:rPr>
                <w:rFonts w:ascii="Times New Roman" w:hAnsi="Times New Roman" w:cs="Times New Roman"/>
                <w:szCs w:val="21"/>
              </w:rPr>
            </w:pPr>
            <w:r>
              <w:rPr>
                <w:rFonts w:ascii="Times New Roman" w:hAnsi="Times New Roman" w:cs="Times New Roman"/>
                <w:color w:val="000000"/>
                <w:szCs w:val="21"/>
              </w:rPr>
              <w:t>1</w:t>
            </w:r>
          </w:p>
        </w:tc>
        <w:tc>
          <w:tcPr>
            <w:tcW w:w="1698" w:type="dxa"/>
            <w:vMerge w:val="restart"/>
            <w:vAlign w:val="center"/>
          </w:tcPr>
          <w:p w14:paraId="1A526925" w14:textId="77777777" w:rsidR="00BD3166" w:rsidRDefault="00C64679">
            <w:pPr>
              <w:rPr>
                <w:rFonts w:ascii="Times New Roman" w:hAnsi="Times New Roman" w:cs="Times New Roman"/>
                <w:szCs w:val="21"/>
              </w:rPr>
            </w:pPr>
            <w:r>
              <w:rPr>
                <w:rFonts w:ascii="Times New Roman" w:hAnsi="Times New Roman" w:cs="Times New Roman" w:hint="eastAsia"/>
                <w:color w:val="000000"/>
                <w:szCs w:val="21"/>
              </w:rPr>
              <w:t>大唐电信科技股份有限公司</w:t>
            </w:r>
          </w:p>
        </w:tc>
        <w:tc>
          <w:tcPr>
            <w:tcW w:w="2441" w:type="dxa"/>
            <w:vAlign w:val="center"/>
          </w:tcPr>
          <w:p w14:paraId="6698699C" w14:textId="77777777" w:rsidR="00BD3166" w:rsidRDefault="00C64679">
            <w:pPr>
              <w:jc w:val="right"/>
              <w:rPr>
                <w:rFonts w:ascii="Times New Roman" w:hAnsi="Times New Roman" w:cs="Times New Roman"/>
                <w:color w:val="000000"/>
                <w:szCs w:val="21"/>
              </w:rPr>
            </w:pPr>
            <w:r>
              <w:rPr>
                <w:rFonts w:ascii="Times New Roman" w:hAnsi="Times New Roman" w:cs="Times New Roman"/>
                <w:color w:val="000000"/>
                <w:szCs w:val="21"/>
              </w:rPr>
              <w:t>41,092.10</w:t>
            </w:r>
          </w:p>
        </w:tc>
        <w:tc>
          <w:tcPr>
            <w:tcW w:w="1384" w:type="dxa"/>
            <w:vMerge w:val="restart"/>
            <w:vAlign w:val="center"/>
          </w:tcPr>
          <w:p w14:paraId="00187638" w14:textId="77777777" w:rsidR="00BD3166" w:rsidRDefault="00C64679">
            <w:pPr>
              <w:jc w:val="center"/>
              <w:rPr>
                <w:rFonts w:ascii="Times New Roman" w:hAnsi="Times New Roman" w:cs="Times New Roman"/>
                <w:szCs w:val="21"/>
              </w:rPr>
            </w:pPr>
            <w:r>
              <w:rPr>
                <w:rFonts w:ascii="Times New Roman" w:hAnsi="Times New Roman" w:cs="Times New Roman" w:hint="eastAsia"/>
                <w:szCs w:val="21"/>
              </w:rPr>
              <w:t>资金集中收付往来</w:t>
            </w:r>
          </w:p>
        </w:tc>
        <w:tc>
          <w:tcPr>
            <w:tcW w:w="1049" w:type="dxa"/>
            <w:vAlign w:val="center"/>
          </w:tcPr>
          <w:p w14:paraId="457BEF13" w14:textId="77777777" w:rsidR="00BD3166" w:rsidRDefault="00C64679">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年以内</w:t>
            </w:r>
          </w:p>
        </w:tc>
        <w:tc>
          <w:tcPr>
            <w:tcW w:w="1136" w:type="dxa"/>
            <w:vMerge w:val="restart"/>
            <w:vAlign w:val="center"/>
          </w:tcPr>
          <w:p w14:paraId="3E8F969A" w14:textId="77777777" w:rsidR="00BD3166" w:rsidRDefault="00C64679">
            <w:pPr>
              <w:jc w:val="right"/>
              <w:rPr>
                <w:rFonts w:ascii="Times New Roman" w:hAnsi="Times New Roman" w:cs="Times New Roman"/>
                <w:szCs w:val="21"/>
              </w:rPr>
            </w:pPr>
            <w:r>
              <w:rPr>
                <w:rFonts w:ascii="Times New Roman" w:hAnsi="Times New Roman" w:cs="Times New Roman"/>
                <w:szCs w:val="21"/>
              </w:rPr>
              <w:t>85.02%</w:t>
            </w:r>
          </w:p>
        </w:tc>
      </w:tr>
      <w:tr w:rsidR="00BD3166" w14:paraId="26FF1982" w14:textId="77777777">
        <w:trPr>
          <w:trHeight w:val="397"/>
          <w:jc w:val="center"/>
        </w:trPr>
        <w:tc>
          <w:tcPr>
            <w:tcW w:w="588" w:type="dxa"/>
            <w:vMerge/>
            <w:vAlign w:val="center"/>
          </w:tcPr>
          <w:p w14:paraId="56F20EEA" w14:textId="77777777" w:rsidR="00BD3166" w:rsidRDefault="00BD3166">
            <w:pPr>
              <w:jc w:val="center"/>
              <w:rPr>
                <w:rFonts w:ascii="Times New Roman" w:hAnsi="Times New Roman" w:cs="Times New Roman"/>
                <w:color w:val="000000"/>
                <w:szCs w:val="21"/>
              </w:rPr>
            </w:pPr>
          </w:p>
        </w:tc>
        <w:tc>
          <w:tcPr>
            <w:tcW w:w="1698" w:type="dxa"/>
            <w:vMerge/>
            <w:vAlign w:val="center"/>
          </w:tcPr>
          <w:p w14:paraId="1F330E09" w14:textId="77777777" w:rsidR="00BD3166" w:rsidRDefault="00BD3166">
            <w:pPr>
              <w:rPr>
                <w:rFonts w:ascii="Times New Roman" w:hAnsi="Times New Roman" w:cs="Times New Roman"/>
                <w:color w:val="000000"/>
                <w:szCs w:val="21"/>
              </w:rPr>
            </w:pPr>
          </w:p>
        </w:tc>
        <w:tc>
          <w:tcPr>
            <w:tcW w:w="2441" w:type="dxa"/>
            <w:vAlign w:val="center"/>
          </w:tcPr>
          <w:p w14:paraId="04AE3FBF" w14:textId="77777777" w:rsidR="00BD3166" w:rsidRDefault="00C64679">
            <w:pPr>
              <w:jc w:val="right"/>
              <w:rPr>
                <w:rFonts w:ascii="Times New Roman" w:hAnsi="Times New Roman" w:cs="Times New Roman"/>
                <w:color w:val="000000"/>
                <w:szCs w:val="21"/>
              </w:rPr>
            </w:pPr>
            <w:r>
              <w:rPr>
                <w:rFonts w:ascii="Times New Roman" w:hAnsi="Times New Roman" w:cs="Times New Roman"/>
                <w:color w:val="000000"/>
                <w:szCs w:val="21"/>
              </w:rPr>
              <w:t>20,545.01</w:t>
            </w:r>
          </w:p>
        </w:tc>
        <w:tc>
          <w:tcPr>
            <w:tcW w:w="1384" w:type="dxa"/>
            <w:vMerge/>
            <w:vAlign w:val="center"/>
          </w:tcPr>
          <w:p w14:paraId="2BD03903" w14:textId="77777777" w:rsidR="00BD3166" w:rsidRDefault="00BD3166">
            <w:pPr>
              <w:jc w:val="center"/>
              <w:rPr>
                <w:rFonts w:ascii="Times New Roman" w:hAnsi="Times New Roman" w:cs="Times New Roman"/>
                <w:szCs w:val="21"/>
              </w:rPr>
            </w:pPr>
          </w:p>
        </w:tc>
        <w:tc>
          <w:tcPr>
            <w:tcW w:w="1049" w:type="dxa"/>
            <w:vAlign w:val="center"/>
          </w:tcPr>
          <w:p w14:paraId="6E27EB86" w14:textId="77777777" w:rsidR="00BD3166" w:rsidRDefault="00C64679">
            <w:pPr>
              <w:jc w:val="center"/>
              <w:rPr>
                <w:rFonts w:ascii="Times New Roman" w:hAnsi="Times New Roman" w:cs="Times New Roman"/>
                <w:szCs w:val="21"/>
              </w:rPr>
            </w:pPr>
            <w:r>
              <w:rPr>
                <w:rFonts w:ascii="Times New Roman" w:hAnsi="Times New Roman" w:cs="Times New Roman" w:hint="eastAsia"/>
                <w:szCs w:val="21"/>
              </w:rPr>
              <w:t>1-2</w:t>
            </w:r>
            <w:r>
              <w:rPr>
                <w:rFonts w:ascii="Times New Roman" w:hAnsi="Times New Roman" w:cs="Times New Roman" w:hint="eastAsia"/>
                <w:szCs w:val="21"/>
              </w:rPr>
              <w:t>年</w:t>
            </w:r>
          </w:p>
        </w:tc>
        <w:tc>
          <w:tcPr>
            <w:tcW w:w="1136" w:type="dxa"/>
            <w:vMerge/>
            <w:vAlign w:val="center"/>
          </w:tcPr>
          <w:p w14:paraId="0C835FCE" w14:textId="77777777" w:rsidR="00BD3166" w:rsidRDefault="00BD3166">
            <w:pPr>
              <w:jc w:val="right"/>
              <w:rPr>
                <w:rFonts w:ascii="Times New Roman" w:hAnsi="Times New Roman" w:cs="Times New Roman"/>
                <w:szCs w:val="21"/>
              </w:rPr>
            </w:pPr>
          </w:p>
        </w:tc>
      </w:tr>
      <w:tr w:rsidR="00BD3166" w14:paraId="1624DAB5" w14:textId="77777777">
        <w:trPr>
          <w:trHeight w:val="397"/>
          <w:jc w:val="center"/>
        </w:trPr>
        <w:tc>
          <w:tcPr>
            <w:tcW w:w="588" w:type="dxa"/>
            <w:vMerge/>
            <w:vAlign w:val="center"/>
          </w:tcPr>
          <w:p w14:paraId="2382687F" w14:textId="77777777" w:rsidR="00BD3166" w:rsidRDefault="00BD3166">
            <w:pPr>
              <w:jc w:val="center"/>
              <w:rPr>
                <w:rFonts w:ascii="Times New Roman" w:hAnsi="Times New Roman" w:cs="Times New Roman"/>
                <w:color w:val="000000"/>
                <w:szCs w:val="21"/>
              </w:rPr>
            </w:pPr>
          </w:p>
        </w:tc>
        <w:tc>
          <w:tcPr>
            <w:tcW w:w="1698" w:type="dxa"/>
            <w:vMerge/>
            <w:vAlign w:val="center"/>
          </w:tcPr>
          <w:p w14:paraId="5CEF8290" w14:textId="77777777" w:rsidR="00BD3166" w:rsidRDefault="00BD3166">
            <w:pPr>
              <w:rPr>
                <w:rFonts w:ascii="Times New Roman" w:hAnsi="Times New Roman" w:cs="Times New Roman"/>
                <w:color w:val="000000"/>
                <w:szCs w:val="21"/>
              </w:rPr>
            </w:pPr>
          </w:p>
        </w:tc>
        <w:tc>
          <w:tcPr>
            <w:tcW w:w="2441" w:type="dxa"/>
            <w:vAlign w:val="center"/>
          </w:tcPr>
          <w:p w14:paraId="6B70B184" w14:textId="77777777" w:rsidR="00BD3166" w:rsidRDefault="00C64679">
            <w:pPr>
              <w:jc w:val="right"/>
              <w:rPr>
                <w:rFonts w:ascii="Times New Roman" w:hAnsi="Times New Roman" w:cs="Times New Roman"/>
                <w:color w:val="000000"/>
                <w:szCs w:val="21"/>
              </w:rPr>
            </w:pPr>
            <w:r>
              <w:rPr>
                <w:rFonts w:ascii="Times New Roman" w:hAnsi="Times New Roman" w:cs="Times New Roman"/>
                <w:color w:val="000000"/>
                <w:szCs w:val="21"/>
              </w:rPr>
              <w:t>28,514.28</w:t>
            </w:r>
          </w:p>
        </w:tc>
        <w:tc>
          <w:tcPr>
            <w:tcW w:w="1384" w:type="dxa"/>
            <w:vAlign w:val="center"/>
          </w:tcPr>
          <w:p w14:paraId="5D5701AC" w14:textId="77777777" w:rsidR="00BD3166" w:rsidRDefault="00C64679">
            <w:pPr>
              <w:jc w:val="center"/>
              <w:rPr>
                <w:rFonts w:ascii="Times New Roman" w:hAnsi="Times New Roman" w:cs="Times New Roman"/>
                <w:szCs w:val="21"/>
              </w:rPr>
            </w:pPr>
            <w:r>
              <w:rPr>
                <w:rFonts w:ascii="Times New Roman" w:hAnsi="Times New Roman" w:cs="Times New Roman" w:hint="eastAsia"/>
                <w:szCs w:val="21"/>
              </w:rPr>
              <w:t>内部借款、应付利息及往来</w:t>
            </w:r>
          </w:p>
        </w:tc>
        <w:tc>
          <w:tcPr>
            <w:tcW w:w="1049" w:type="dxa"/>
            <w:vAlign w:val="center"/>
          </w:tcPr>
          <w:p w14:paraId="6DE812E6" w14:textId="77777777" w:rsidR="00BD3166" w:rsidRDefault="00C64679">
            <w:pPr>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年以内</w:t>
            </w:r>
          </w:p>
        </w:tc>
        <w:tc>
          <w:tcPr>
            <w:tcW w:w="1136" w:type="dxa"/>
            <w:vMerge/>
            <w:vAlign w:val="center"/>
          </w:tcPr>
          <w:p w14:paraId="7B2A0593" w14:textId="77777777" w:rsidR="00BD3166" w:rsidRDefault="00BD3166">
            <w:pPr>
              <w:jc w:val="right"/>
              <w:rPr>
                <w:rFonts w:ascii="Times New Roman" w:hAnsi="Times New Roman" w:cs="Times New Roman"/>
                <w:szCs w:val="21"/>
              </w:rPr>
            </w:pPr>
          </w:p>
        </w:tc>
      </w:tr>
      <w:tr w:rsidR="00BD3166" w14:paraId="5B197145" w14:textId="77777777">
        <w:trPr>
          <w:trHeight w:val="397"/>
          <w:jc w:val="center"/>
        </w:trPr>
        <w:tc>
          <w:tcPr>
            <w:tcW w:w="588" w:type="dxa"/>
            <w:vMerge/>
            <w:vAlign w:val="center"/>
          </w:tcPr>
          <w:p w14:paraId="1EE70070" w14:textId="77777777" w:rsidR="00BD3166" w:rsidRDefault="00BD3166">
            <w:pPr>
              <w:jc w:val="center"/>
              <w:rPr>
                <w:rFonts w:ascii="Times New Roman" w:hAnsi="Times New Roman" w:cs="Times New Roman"/>
                <w:color w:val="000000"/>
                <w:szCs w:val="21"/>
              </w:rPr>
            </w:pPr>
          </w:p>
        </w:tc>
        <w:tc>
          <w:tcPr>
            <w:tcW w:w="1698" w:type="dxa"/>
            <w:vMerge/>
            <w:vAlign w:val="center"/>
          </w:tcPr>
          <w:p w14:paraId="1F088262" w14:textId="77777777" w:rsidR="00BD3166" w:rsidRDefault="00BD3166">
            <w:pPr>
              <w:rPr>
                <w:rFonts w:ascii="Times New Roman" w:hAnsi="Times New Roman" w:cs="Times New Roman"/>
                <w:color w:val="000000"/>
                <w:szCs w:val="21"/>
              </w:rPr>
            </w:pPr>
          </w:p>
        </w:tc>
        <w:tc>
          <w:tcPr>
            <w:tcW w:w="2441" w:type="dxa"/>
            <w:vAlign w:val="center"/>
          </w:tcPr>
          <w:p w14:paraId="247EBE33" w14:textId="77777777" w:rsidR="00BD3166" w:rsidRDefault="00C64679">
            <w:pPr>
              <w:jc w:val="right"/>
              <w:rPr>
                <w:rFonts w:ascii="Times New Roman" w:hAnsi="Times New Roman" w:cs="Times New Roman"/>
                <w:color w:val="000000"/>
                <w:szCs w:val="21"/>
              </w:rPr>
            </w:pPr>
            <w:r>
              <w:rPr>
                <w:rFonts w:ascii="Times New Roman" w:hAnsi="Times New Roman" w:cs="Times New Roman"/>
                <w:color w:val="000000"/>
                <w:szCs w:val="21"/>
              </w:rPr>
              <w:t>480.00</w:t>
            </w:r>
          </w:p>
        </w:tc>
        <w:tc>
          <w:tcPr>
            <w:tcW w:w="1384" w:type="dxa"/>
            <w:vAlign w:val="center"/>
          </w:tcPr>
          <w:p w14:paraId="2D5360C7" w14:textId="77777777" w:rsidR="00BD3166" w:rsidRDefault="00C64679">
            <w:pPr>
              <w:jc w:val="center"/>
              <w:rPr>
                <w:rFonts w:ascii="Times New Roman" w:hAnsi="Times New Roman" w:cs="Times New Roman"/>
                <w:szCs w:val="21"/>
              </w:rPr>
            </w:pPr>
            <w:r>
              <w:rPr>
                <w:rFonts w:ascii="Times New Roman" w:hAnsi="Times New Roman" w:cs="Times New Roman" w:hint="eastAsia"/>
                <w:szCs w:val="21"/>
              </w:rPr>
              <w:t>资金往来</w:t>
            </w:r>
          </w:p>
        </w:tc>
        <w:tc>
          <w:tcPr>
            <w:tcW w:w="1049" w:type="dxa"/>
            <w:vAlign w:val="center"/>
          </w:tcPr>
          <w:p w14:paraId="72B4793F" w14:textId="77777777" w:rsidR="00BD3166" w:rsidRDefault="00C64679">
            <w:pPr>
              <w:jc w:val="center"/>
              <w:rPr>
                <w:rFonts w:ascii="Times New Roman" w:hAnsi="Times New Roman" w:cs="Times New Roman"/>
                <w:szCs w:val="21"/>
              </w:rPr>
            </w:pPr>
            <w:r>
              <w:rPr>
                <w:rFonts w:ascii="Times New Roman" w:hAnsi="Times New Roman" w:cs="Times New Roman" w:hint="eastAsia"/>
                <w:szCs w:val="21"/>
              </w:rPr>
              <w:t>1-2</w:t>
            </w:r>
            <w:r>
              <w:rPr>
                <w:rFonts w:ascii="Times New Roman" w:hAnsi="Times New Roman" w:cs="Times New Roman" w:hint="eastAsia"/>
                <w:szCs w:val="21"/>
              </w:rPr>
              <w:t>年</w:t>
            </w:r>
          </w:p>
        </w:tc>
        <w:tc>
          <w:tcPr>
            <w:tcW w:w="1136" w:type="dxa"/>
            <w:vMerge/>
            <w:vAlign w:val="center"/>
          </w:tcPr>
          <w:p w14:paraId="109C669E" w14:textId="77777777" w:rsidR="00BD3166" w:rsidRDefault="00BD3166">
            <w:pPr>
              <w:jc w:val="right"/>
              <w:rPr>
                <w:rFonts w:ascii="Times New Roman" w:hAnsi="Times New Roman" w:cs="Times New Roman"/>
                <w:szCs w:val="21"/>
              </w:rPr>
            </w:pPr>
          </w:p>
        </w:tc>
      </w:tr>
      <w:tr w:rsidR="00BD3166" w14:paraId="64D3DAB0" w14:textId="77777777">
        <w:trPr>
          <w:trHeight w:val="397"/>
          <w:jc w:val="center"/>
        </w:trPr>
        <w:tc>
          <w:tcPr>
            <w:tcW w:w="588" w:type="dxa"/>
            <w:vMerge/>
            <w:vAlign w:val="center"/>
          </w:tcPr>
          <w:p w14:paraId="7A1B54E8" w14:textId="77777777" w:rsidR="00BD3166" w:rsidRDefault="00BD3166">
            <w:pPr>
              <w:jc w:val="center"/>
              <w:rPr>
                <w:rFonts w:ascii="Times New Roman" w:hAnsi="Times New Roman" w:cs="Times New Roman"/>
                <w:color w:val="000000"/>
                <w:szCs w:val="21"/>
              </w:rPr>
            </w:pPr>
          </w:p>
        </w:tc>
        <w:tc>
          <w:tcPr>
            <w:tcW w:w="1698" w:type="dxa"/>
            <w:vMerge/>
            <w:vAlign w:val="center"/>
          </w:tcPr>
          <w:p w14:paraId="05953741" w14:textId="77777777" w:rsidR="00BD3166" w:rsidRDefault="00BD3166">
            <w:pPr>
              <w:rPr>
                <w:rFonts w:ascii="Times New Roman" w:hAnsi="Times New Roman" w:cs="Times New Roman"/>
                <w:color w:val="000000"/>
                <w:szCs w:val="21"/>
              </w:rPr>
            </w:pPr>
          </w:p>
        </w:tc>
        <w:tc>
          <w:tcPr>
            <w:tcW w:w="2441" w:type="dxa"/>
            <w:vAlign w:val="center"/>
          </w:tcPr>
          <w:p w14:paraId="48756C8A" w14:textId="77777777" w:rsidR="00BD3166" w:rsidRDefault="00C64679">
            <w:pPr>
              <w:jc w:val="right"/>
              <w:rPr>
                <w:rFonts w:ascii="Times New Roman" w:hAnsi="Times New Roman" w:cs="Times New Roman"/>
                <w:color w:val="000000"/>
                <w:szCs w:val="21"/>
              </w:rPr>
            </w:pPr>
            <w:r>
              <w:rPr>
                <w:rFonts w:ascii="Times New Roman" w:hAnsi="Times New Roman" w:cs="Times New Roman"/>
                <w:color w:val="000000"/>
                <w:szCs w:val="21"/>
              </w:rPr>
              <w:t>7,500.00</w:t>
            </w:r>
          </w:p>
        </w:tc>
        <w:tc>
          <w:tcPr>
            <w:tcW w:w="1384" w:type="dxa"/>
            <w:vAlign w:val="center"/>
          </w:tcPr>
          <w:p w14:paraId="5BD1BF40" w14:textId="77777777" w:rsidR="00BD3166" w:rsidRDefault="00C64679">
            <w:pPr>
              <w:jc w:val="center"/>
              <w:rPr>
                <w:rFonts w:ascii="Times New Roman" w:hAnsi="Times New Roman" w:cs="Times New Roman"/>
                <w:szCs w:val="21"/>
              </w:rPr>
            </w:pPr>
            <w:r>
              <w:rPr>
                <w:rFonts w:ascii="Times New Roman" w:hAnsi="Times New Roman" w:cs="Times New Roman" w:hint="eastAsia"/>
                <w:szCs w:val="21"/>
              </w:rPr>
              <w:t>资金往来</w:t>
            </w:r>
          </w:p>
        </w:tc>
        <w:tc>
          <w:tcPr>
            <w:tcW w:w="1049" w:type="dxa"/>
            <w:vAlign w:val="center"/>
          </w:tcPr>
          <w:p w14:paraId="18A2E147" w14:textId="77777777" w:rsidR="00BD3166" w:rsidRDefault="00C64679">
            <w:pPr>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-3</w:t>
            </w:r>
            <w:r>
              <w:rPr>
                <w:rFonts w:ascii="Times New Roman" w:hAnsi="Times New Roman" w:cs="Times New Roman"/>
                <w:szCs w:val="21"/>
              </w:rPr>
              <w:t>年</w:t>
            </w:r>
          </w:p>
        </w:tc>
        <w:tc>
          <w:tcPr>
            <w:tcW w:w="1136" w:type="dxa"/>
            <w:vMerge/>
            <w:vAlign w:val="center"/>
          </w:tcPr>
          <w:p w14:paraId="3BA93144" w14:textId="77777777" w:rsidR="00BD3166" w:rsidRDefault="00BD3166">
            <w:pPr>
              <w:jc w:val="right"/>
              <w:rPr>
                <w:rFonts w:ascii="Times New Roman" w:hAnsi="Times New Roman" w:cs="Times New Roman"/>
                <w:szCs w:val="21"/>
              </w:rPr>
            </w:pPr>
          </w:p>
        </w:tc>
      </w:tr>
      <w:tr w:rsidR="00BD3166" w14:paraId="57E73695" w14:textId="77777777">
        <w:trPr>
          <w:trHeight w:val="397"/>
          <w:jc w:val="center"/>
        </w:trPr>
        <w:tc>
          <w:tcPr>
            <w:tcW w:w="588" w:type="dxa"/>
            <w:vAlign w:val="center"/>
          </w:tcPr>
          <w:p w14:paraId="2E797BBD" w14:textId="77777777" w:rsidR="00BD3166" w:rsidRDefault="00C64679">
            <w:pPr>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1698" w:type="dxa"/>
            <w:vAlign w:val="center"/>
          </w:tcPr>
          <w:p w14:paraId="058CC76C" w14:textId="77777777" w:rsidR="00BD3166" w:rsidRDefault="00C64679">
            <w:pPr>
              <w:rPr>
                <w:rFonts w:ascii="Times New Roman" w:hAnsi="Times New Roman" w:cs="Times New Roman"/>
                <w:color w:val="000000"/>
                <w:szCs w:val="21"/>
              </w:rPr>
            </w:pPr>
            <w:r>
              <w:rPr>
                <w:rFonts w:ascii="Times New Roman" w:hAnsi="Times New Roman" w:cs="Times New Roman"/>
                <w:color w:val="000000"/>
                <w:szCs w:val="21"/>
              </w:rPr>
              <w:t>北京实利通和发展有限公司</w:t>
            </w:r>
          </w:p>
        </w:tc>
        <w:tc>
          <w:tcPr>
            <w:tcW w:w="2441" w:type="dxa"/>
            <w:vAlign w:val="center"/>
          </w:tcPr>
          <w:p w14:paraId="04CB31D6" w14:textId="77777777" w:rsidR="00BD3166" w:rsidRDefault="00C64679">
            <w:pPr>
              <w:jc w:val="right"/>
              <w:rPr>
                <w:rFonts w:ascii="Times New Roman" w:hAnsi="Times New Roman" w:cs="Times New Roman"/>
                <w:color w:val="000000"/>
                <w:szCs w:val="21"/>
              </w:rPr>
            </w:pPr>
            <w:r>
              <w:rPr>
                <w:rFonts w:ascii="Times New Roman" w:hAnsi="Times New Roman" w:cs="Times New Roman"/>
                <w:color w:val="000000"/>
                <w:szCs w:val="21"/>
              </w:rPr>
              <w:t>17,113.00</w:t>
            </w:r>
          </w:p>
        </w:tc>
        <w:tc>
          <w:tcPr>
            <w:tcW w:w="1384" w:type="dxa"/>
            <w:vAlign w:val="center"/>
          </w:tcPr>
          <w:p w14:paraId="024389AE" w14:textId="77777777" w:rsidR="00BD3166" w:rsidRDefault="00C64679">
            <w:pPr>
              <w:jc w:val="center"/>
              <w:rPr>
                <w:rFonts w:ascii="Times New Roman" w:hAnsi="Times New Roman" w:cs="Times New Roman"/>
                <w:szCs w:val="21"/>
              </w:rPr>
            </w:pPr>
            <w:r>
              <w:rPr>
                <w:rFonts w:ascii="Times New Roman" w:hAnsi="Times New Roman" w:cs="Times New Roman" w:hint="eastAsia"/>
                <w:szCs w:val="21"/>
              </w:rPr>
              <w:t>往来款</w:t>
            </w:r>
          </w:p>
        </w:tc>
        <w:tc>
          <w:tcPr>
            <w:tcW w:w="1049" w:type="dxa"/>
            <w:vAlign w:val="center"/>
          </w:tcPr>
          <w:p w14:paraId="74058EC2" w14:textId="77777777" w:rsidR="00BD3166" w:rsidRDefault="00C64679">
            <w:pPr>
              <w:jc w:val="center"/>
              <w:rPr>
                <w:rFonts w:ascii="Times New Roman" w:hAnsi="Times New Roman" w:cs="Times New Roman"/>
                <w:szCs w:val="21"/>
              </w:rPr>
            </w:pPr>
            <w:r>
              <w:rPr>
                <w:rFonts w:ascii="Times New Roman" w:hAnsi="Times New Roman" w:cs="Times New Roman"/>
                <w:szCs w:val="21"/>
              </w:rPr>
              <w:t>3-4</w:t>
            </w:r>
            <w:r>
              <w:rPr>
                <w:rFonts w:ascii="Times New Roman" w:hAnsi="Times New Roman" w:cs="Times New Roman"/>
                <w:szCs w:val="21"/>
              </w:rPr>
              <w:t>年</w:t>
            </w:r>
          </w:p>
        </w:tc>
        <w:tc>
          <w:tcPr>
            <w:tcW w:w="1136" w:type="dxa"/>
            <w:vAlign w:val="center"/>
          </w:tcPr>
          <w:p w14:paraId="14428B50" w14:textId="77777777" w:rsidR="00BD3166" w:rsidRDefault="00C64679">
            <w:pPr>
              <w:jc w:val="right"/>
              <w:rPr>
                <w:rFonts w:ascii="Times New Roman" w:hAnsi="Times New Roman" w:cs="Times New Roman"/>
                <w:szCs w:val="21"/>
              </w:rPr>
            </w:pPr>
            <w:r>
              <w:rPr>
                <w:rFonts w:ascii="Times New Roman" w:hAnsi="Times New Roman" w:cs="Times New Roman"/>
                <w:szCs w:val="21"/>
              </w:rPr>
              <w:t>14.83%</w:t>
            </w:r>
          </w:p>
        </w:tc>
      </w:tr>
      <w:tr w:rsidR="00BD3166" w14:paraId="56542892" w14:textId="77777777">
        <w:trPr>
          <w:trHeight w:val="397"/>
          <w:jc w:val="center"/>
        </w:trPr>
        <w:tc>
          <w:tcPr>
            <w:tcW w:w="588" w:type="dxa"/>
            <w:vMerge w:val="restart"/>
            <w:vAlign w:val="center"/>
          </w:tcPr>
          <w:p w14:paraId="5C25C6A6" w14:textId="77777777" w:rsidR="00BD3166" w:rsidRDefault="00C64679">
            <w:pPr>
              <w:jc w:val="center"/>
              <w:rPr>
                <w:rFonts w:ascii="Times New Roman" w:hAnsi="Times New Roman" w:cs="Times New Roman"/>
                <w:color w:val="000000"/>
                <w:szCs w:val="21"/>
              </w:rPr>
            </w:pPr>
            <w:r>
              <w:rPr>
                <w:rFonts w:ascii="Times New Roman" w:hAnsi="Times New Roman" w:cs="Times New Roman"/>
                <w:color w:val="000000"/>
                <w:szCs w:val="21"/>
              </w:rPr>
              <w:t>3</w:t>
            </w:r>
          </w:p>
        </w:tc>
        <w:tc>
          <w:tcPr>
            <w:tcW w:w="1698" w:type="dxa"/>
            <w:vMerge w:val="restart"/>
            <w:vAlign w:val="center"/>
          </w:tcPr>
          <w:p w14:paraId="3042A3F3" w14:textId="77777777" w:rsidR="00BD3166" w:rsidRDefault="00C64679">
            <w:pPr>
              <w:rPr>
                <w:rFonts w:ascii="Times New Roman" w:hAnsi="Times New Roman" w:cs="Times New Roman"/>
                <w:color w:val="000000"/>
                <w:szCs w:val="21"/>
              </w:rPr>
            </w:pPr>
            <w:r>
              <w:rPr>
                <w:rFonts w:ascii="Times New Roman" w:hAnsi="Times New Roman" w:cs="Times New Roman"/>
                <w:color w:val="000000"/>
                <w:szCs w:val="21"/>
              </w:rPr>
              <w:t>大唐半导体设计有限公司</w:t>
            </w:r>
          </w:p>
        </w:tc>
        <w:tc>
          <w:tcPr>
            <w:tcW w:w="2441" w:type="dxa"/>
            <w:vAlign w:val="center"/>
          </w:tcPr>
          <w:p w14:paraId="07986C5C" w14:textId="77777777" w:rsidR="00BD3166" w:rsidRDefault="00C64679">
            <w:pPr>
              <w:jc w:val="right"/>
              <w:rPr>
                <w:rFonts w:ascii="Times New Roman" w:hAnsi="Times New Roman" w:cs="Times New Roman"/>
                <w:color w:val="000000"/>
                <w:szCs w:val="21"/>
              </w:rPr>
            </w:pPr>
            <w:r>
              <w:rPr>
                <w:rFonts w:ascii="Times New Roman" w:hAnsi="Times New Roman" w:cs="Times New Roman"/>
                <w:color w:val="000000"/>
                <w:szCs w:val="21"/>
              </w:rPr>
              <w:t>0.55</w:t>
            </w:r>
          </w:p>
        </w:tc>
        <w:tc>
          <w:tcPr>
            <w:tcW w:w="1384" w:type="dxa"/>
            <w:vMerge w:val="restart"/>
            <w:vAlign w:val="center"/>
          </w:tcPr>
          <w:p w14:paraId="7D81B90B" w14:textId="77777777" w:rsidR="00BD3166" w:rsidRDefault="00C64679">
            <w:pPr>
              <w:jc w:val="center"/>
              <w:rPr>
                <w:rFonts w:ascii="Times New Roman" w:hAnsi="Times New Roman" w:cs="Times New Roman"/>
                <w:szCs w:val="21"/>
              </w:rPr>
            </w:pPr>
            <w:r>
              <w:rPr>
                <w:rFonts w:ascii="Times New Roman" w:hAnsi="Times New Roman" w:cs="Times New Roman"/>
                <w:szCs w:val="21"/>
              </w:rPr>
              <w:t>代垫款项</w:t>
            </w:r>
          </w:p>
        </w:tc>
        <w:tc>
          <w:tcPr>
            <w:tcW w:w="1049" w:type="dxa"/>
            <w:vAlign w:val="center"/>
          </w:tcPr>
          <w:p w14:paraId="74A4E0F7" w14:textId="77777777" w:rsidR="00BD3166" w:rsidRDefault="00C64679">
            <w:pPr>
              <w:jc w:val="center"/>
              <w:rPr>
                <w:rFonts w:ascii="Times New Roman" w:hAnsi="Times New Roman" w:cs="Times New Roman"/>
                <w:szCs w:val="21"/>
              </w:rPr>
            </w:pPr>
            <w:r>
              <w:rPr>
                <w:rFonts w:ascii="Times New Roman" w:hAnsi="Times New Roman" w:cs="Times New Roman"/>
                <w:szCs w:val="21"/>
              </w:rPr>
              <w:t>3-4</w:t>
            </w:r>
            <w:r>
              <w:rPr>
                <w:rFonts w:ascii="Times New Roman" w:hAnsi="Times New Roman" w:cs="Times New Roman"/>
                <w:szCs w:val="21"/>
              </w:rPr>
              <w:t>年</w:t>
            </w:r>
          </w:p>
        </w:tc>
        <w:tc>
          <w:tcPr>
            <w:tcW w:w="1136" w:type="dxa"/>
            <w:vMerge w:val="restart"/>
            <w:vAlign w:val="center"/>
          </w:tcPr>
          <w:p w14:paraId="74575B3D" w14:textId="77777777" w:rsidR="00BD3166" w:rsidRDefault="00C64679">
            <w:pPr>
              <w:jc w:val="right"/>
              <w:rPr>
                <w:rFonts w:ascii="Times New Roman" w:hAnsi="Times New Roman" w:cs="Times New Roman"/>
                <w:szCs w:val="21"/>
              </w:rPr>
            </w:pPr>
            <w:r>
              <w:rPr>
                <w:rFonts w:ascii="Times New Roman" w:hAnsi="Times New Roman" w:cs="Times New Roman"/>
                <w:szCs w:val="21"/>
              </w:rPr>
              <w:t>0.09%</w:t>
            </w:r>
          </w:p>
        </w:tc>
      </w:tr>
      <w:tr w:rsidR="00BD3166" w14:paraId="4DB74100" w14:textId="77777777">
        <w:trPr>
          <w:trHeight w:val="397"/>
          <w:jc w:val="center"/>
        </w:trPr>
        <w:tc>
          <w:tcPr>
            <w:tcW w:w="588" w:type="dxa"/>
            <w:vMerge/>
            <w:vAlign w:val="center"/>
          </w:tcPr>
          <w:p w14:paraId="75A55B27" w14:textId="77777777" w:rsidR="00BD3166" w:rsidRDefault="00BD3166">
            <w:pPr>
              <w:jc w:val="center"/>
              <w:rPr>
                <w:rFonts w:ascii="Times New Roman" w:hAnsi="Times New Roman" w:cs="Times New Roman"/>
                <w:color w:val="000000"/>
                <w:szCs w:val="21"/>
              </w:rPr>
            </w:pPr>
          </w:p>
        </w:tc>
        <w:tc>
          <w:tcPr>
            <w:tcW w:w="1698" w:type="dxa"/>
            <w:vMerge/>
            <w:vAlign w:val="center"/>
          </w:tcPr>
          <w:p w14:paraId="63A6D982" w14:textId="77777777" w:rsidR="00BD3166" w:rsidRDefault="00BD3166">
            <w:pPr>
              <w:rPr>
                <w:rFonts w:ascii="Times New Roman" w:hAnsi="Times New Roman" w:cs="Times New Roman"/>
                <w:color w:val="000000"/>
                <w:szCs w:val="21"/>
              </w:rPr>
            </w:pPr>
          </w:p>
        </w:tc>
        <w:tc>
          <w:tcPr>
            <w:tcW w:w="2441" w:type="dxa"/>
            <w:vAlign w:val="center"/>
          </w:tcPr>
          <w:p w14:paraId="12F33143" w14:textId="77777777" w:rsidR="00BD3166" w:rsidRDefault="00C64679">
            <w:pPr>
              <w:jc w:val="right"/>
              <w:rPr>
                <w:rFonts w:ascii="Times New Roman" w:hAnsi="Times New Roman" w:cs="Times New Roman"/>
                <w:color w:val="000000"/>
                <w:szCs w:val="21"/>
              </w:rPr>
            </w:pPr>
            <w:r>
              <w:rPr>
                <w:rFonts w:ascii="Times New Roman" w:hAnsi="Times New Roman" w:cs="Times New Roman"/>
                <w:color w:val="000000"/>
                <w:szCs w:val="21"/>
              </w:rPr>
              <w:t>101.82</w:t>
            </w:r>
          </w:p>
        </w:tc>
        <w:tc>
          <w:tcPr>
            <w:tcW w:w="1384" w:type="dxa"/>
            <w:vMerge/>
            <w:vAlign w:val="center"/>
          </w:tcPr>
          <w:p w14:paraId="16B5936F" w14:textId="77777777" w:rsidR="00BD3166" w:rsidRDefault="00BD3166">
            <w:pPr>
              <w:jc w:val="center"/>
              <w:rPr>
                <w:rFonts w:ascii="Times New Roman" w:hAnsi="Times New Roman" w:cs="Times New Roman"/>
                <w:szCs w:val="21"/>
              </w:rPr>
            </w:pPr>
          </w:p>
        </w:tc>
        <w:tc>
          <w:tcPr>
            <w:tcW w:w="1049" w:type="dxa"/>
            <w:vAlign w:val="center"/>
          </w:tcPr>
          <w:p w14:paraId="4EE5D6B9" w14:textId="77777777" w:rsidR="00BD3166" w:rsidRDefault="00C64679">
            <w:pPr>
              <w:jc w:val="cente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年以上</w:t>
            </w:r>
          </w:p>
        </w:tc>
        <w:tc>
          <w:tcPr>
            <w:tcW w:w="1136" w:type="dxa"/>
            <w:vMerge/>
            <w:vAlign w:val="center"/>
          </w:tcPr>
          <w:p w14:paraId="626B6965" w14:textId="77777777" w:rsidR="00BD3166" w:rsidRDefault="00BD3166">
            <w:pPr>
              <w:jc w:val="right"/>
              <w:rPr>
                <w:rFonts w:ascii="Times New Roman" w:hAnsi="Times New Roman" w:cs="Times New Roman"/>
                <w:szCs w:val="21"/>
              </w:rPr>
            </w:pPr>
          </w:p>
        </w:tc>
      </w:tr>
      <w:tr w:rsidR="00BD3166" w14:paraId="47A70F66" w14:textId="77777777">
        <w:trPr>
          <w:trHeight w:val="397"/>
          <w:jc w:val="center"/>
        </w:trPr>
        <w:tc>
          <w:tcPr>
            <w:tcW w:w="2286" w:type="dxa"/>
            <w:gridSpan w:val="2"/>
            <w:vAlign w:val="center"/>
          </w:tcPr>
          <w:p w14:paraId="0A4579C4" w14:textId="77777777" w:rsidR="00BD3166" w:rsidRDefault="00C64679">
            <w:pPr>
              <w:jc w:val="center"/>
              <w:rPr>
                <w:rFonts w:ascii="Times New Roman" w:hAnsi="Times New Roman" w:cs="Times New Roman"/>
                <w:b/>
                <w:color w:val="000000"/>
                <w:szCs w:val="21"/>
              </w:rPr>
            </w:pPr>
            <w:r>
              <w:rPr>
                <w:rFonts w:ascii="Times New Roman" w:hAnsi="Times New Roman" w:cs="Times New Roman" w:hint="eastAsia"/>
                <w:b/>
                <w:color w:val="000000"/>
                <w:szCs w:val="21"/>
              </w:rPr>
              <w:t>合计</w:t>
            </w:r>
          </w:p>
        </w:tc>
        <w:tc>
          <w:tcPr>
            <w:tcW w:w="2441" w:type="dxa"/>
            <w:vAlign w:val="center"/>
          </w:tcPr>
          <w:p w14:paraId="265D02BC" w14:textId="77777777" w:rsidR="00BD3166" w:rsidRDefault="00C64679">
            <w:pPr>
              <w:jc w:val="right"/>
              <w:rPr>
                <w:rFonts w:ascii="Times New Roman" w:hAnsi="Times New Roman" w:cs="Times New Roman"/>
                <w:b/>
                <w:color w:val="000000"/>
                <w:szCs w:val="21"/>
              </w:rPr>
            </w:pPr>
            <w:r>
              <w:rPr>
                <w:rFonts w:ascii="Times New Roman" w:hAnsi="Times New Roman" w:cs="Times New Roman"/>
                <w:b/>
                <w:color w:val="000000"/>
                <w:szCs w:val="21"/>
              </w:rPr>
              <w:t>115,346.76</w:t>
            </w:r>
          </w:p>
        </w:tc>
        <w:tc>
          <w:tcPr>
            <w:tcW w:w="1384" w:type="dxa"/>
            <w:vAlign w:val="center"/>
          </w:tcPr>
          <w:p w14:paraId="593EB86B" w14:textId="77777777" w:rsidR="00BD3166" w:rsidRDefault="00C64679">
            <w:pPr>
              <w:jc w:val="center"/>
              <w:rPr>
                <w:rFonts w:ascii="Times New Roman" w:hAnsi="Times New Roman" w:cs="Times New Roman"/>
                <w:b/>
                <w:szCs w:val="21"/>
              </w:rPr>
            </w:pPr>
            <w:r>
              <w:rPr>
                <w:rFonts w:ascii="Times New Roman" w:hAnsi="Times New Roman" w:cs="Times New Roman"/>
                <w:b/>
                <w:szCs w:val="21"/>
              </w:rPr>
              <w:t>-</w:t>
            </w:r>
          </w:p>
        </w:tc>
        <w:tc>
          <w:tcPr>
            <w:tcW w:w="1049" w:type="dxa"/>
            <w:vAlign w:val="center"/>
          </w:tcPr>
          <w:p w14:paraId="5635BDB5" w14:textId="77777777" w:rsidR="00BD3166" w:rsidRDefault="00C64679">
            <w:pPr>
              <w:jc w:val="center"/>
              <w:rPr>
                <w:rFonts w:ascii="Times New Roman" w:hAnsi="Times New Roman" w:cs="Times New Roman"/>
                <w:b/>
                <w:szCs w:val="21"/>
              </w:rPr>
            </w:pPr>
            <w:r>
              <w:rPr>
                <w:rFonts w:ascii="Times New Roman" w:hAnsi="Times New Roman" w:cs="Times New Roman"/>
                <w:b/>
                <w:szCs w:val="21"/>
              </w:rPr>
              <w:t>-</w:t>
            </w:r>
          </w:p>
        </w:tc>
        <w:tc>
          <w:tcPr>
            <w:tcW w:w="1136" w:type="dxa"/>
            <w:vAlign w:val="center"/>
          </w:tcPr>
          <w:p w14:paraId="66BBA49D" w14:textId="77777777" w:rsidR="00BD3166" w:rsidRDefault="00C64679">
            <w:pPr>
              <w:jc w:val="right"/>
              <w:rPr>
                <w:rFonts w:ascii="Times New Roman" w:hAnsi="Times New Roman" w:cs="Times New Roman"/>
                <w:b/>
                <w:szCs w:val="21"/>
              </w:rPr>
            </w:pPr>
            <w:r>
              <w:rPr>
                <w:rFonts w:ascii="Times New Roman" w:hAnsi="Times New Roman" w:cs="Times New Roman"/>
                <w:b/>
                <w:szCs w:val="21"/>
              </w:rPr>
              <w:t>99.93%</w:t>
            </w:r>
          </w:p>
        </w:tc>
      </w:tr>
    </w:tbl>
    <w:p w14:paraId="6F069943" w14:textId="77777777" w:rsidR="00BD3166" w:rsidRDefault="00C64679">
      <w:pPr>
        <w:tabs>
          <w:tab w:val="left" w:pos="7360"/>
        </w:tabs>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二、明确前述往来款项的具体解决安排和期限</w:t>
      </w:r>
    </w:p>
    <w:p w14:paraId="6B329E0B"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sz w:val="24"/>
        </w:rPr>
        <w:t>大唐微电子前述其他应收款主要为与大唐电信的</w:t>
      </w:r>
      <w:r>
        <w:rPr>
          <w:rFonts w:ascii="Times New Roman" w:hAnsi="Times New Roman" w:cs="Times New Roman" w:hint="eastAsia"/>
          <w:sz w:val="24"/>
        </w:rPr>
        <w:t>借款等资金往来、与北京实利通和发展有限公司的往来款，与北京实利通和发展有限公司的</w:t>
      </w:r>
      <w:r>
        <w:rPr>
          <w:rFonts w:ascii="Times New Roman" w:hAnsi="Times New Roman" w:cs="Times New Roman"/>
          <w:sz w:val="24"/>
        </w:rPr>
        <w:t>17,113.00</w:t>
      </w:r>
      <w:r>
        <w:rPr>
          <w:rFonts w:ascii="Times New Roman" w:hAnsi="Times New Roman" w:cs="Times New Roman"/>
          <w:sz w:val="24"/>
        </w:rPr>
        <w:t>万元</w:t>
      </w:r>
      <w:r>
        <w:rPr>
          <w:rFonts w:ascii="Times New Roman" w:hAnsi="Times New Roman" w:cs="Times New Roman" w:hint="eastAsia"/>
          <w:sz w:val="24"/>
        </w:rPr>
        <w:t>往来款已全额计提坏账准备。针对大唐微电子与</w:t>
      </w:r>
      <w:r>
        <w:rPr>
          <w:rFonts w:ascii="Times New Roman" w:hAnsi="Times New Roman" w:cs="Times New Roman"/>
          <w:sz w:val="24"/>
        </w:rPr>
        <w:t>大唐电信的</w:t>
      </w:r>
      <w:r>
        <w:rPr>
          <w:rFonts w:ascii="Times New Roman" w:hAnsi="Times New Roman" w:cs="Times New Roman" w:hint="eastAsia"/>
          <w:sz w:val="24"/>
        </w:rPr>
        <w:t>借款等资金往来，大唐电信和大唐微电子计划采取积极措施逐年解决，大唐微电子对大唐电信其他应付款</w:t>
      </w:r>
      <w:r>
        <w:rPr>
          <w:rFonts w:ascii="Times New Roman" w:hAnsi="Times New Roman" w:cs="Times New Roman" w:hint="eastAsia"/>
          <w:sz w:val="24"/>
        </w:rPr>
        <w:t>1.26</w:t>
      </w:r>
      <w:r>
        <w:rPr>
          <w:rFonts w:ascii="Times New Roman" w:hAnsi="Times New Roman" w:cs="Times New Roman" w:hint="eastAsia"/>
          <w:sz w:val="24"/>
        </w:rPr>
        <w:t>亿元以及对大唐电信应付股利</w:t>
      </w:r>
      <w:r>
        <w:rPr>
          <w:rFonts w:ascii="Times New Roman" w:hAnsi="Times New Roman" w:cs="Times New Roman" w:hint="eastAsia"/>
          <w:sz w:val="24"/>
        </w:rPr>
        <w:t>0.19</w:t>
      </w:r>
      <w:r>
        <w:rPr>
          <w:rFonts w:ascii="Times New Roman" w:hAnsi="Times New Roman" w:cs="Times New Roman" w:hint="eastAsia"/>
          <w:sz w:val="24"/>
        </w:rPr>
        <w:t>亿元，计划履行审批程序后与大唐电信其他应收款进行对冲的账务处理；大唐电信计划逐年压缩前述其他应收款余额，按照每年不低于上一年款项余额</w:t>
      </w:r>
      <w:r>
        <w:rPr>
          <w:rFonts w:ascii="Times New Roman" w:hAnsi="Times New Roman" w:cs="Times New Roman" w:hint="eastAsia"/>
          <w:sz w:val="24"/>
        </w:rPr>
        <w:t>8%</w:t>
      </w:r>
      <w:r>
        <w:rPr>
          <w:rFonts w:ascii="Times New Roman" w:hAnsi="Times New Roman" w:cs="Times New Roman" w:hint="eastAsia"/>
          <w:sz w:val="24"/>
        </w:rPr>
        <w:t>进行归还。</w:t>
      </w:r>
    </w:p>
    <w:p w14:paraId="0FE5EBD5"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上市公司正采取积极措施提高持续盈利能力，正在实施发行股份购买</w:t>
      </w:r>
      <w:proofErr w:type="gramStart"/>
      <w:r>
        <w:rPr>
          <w:rFonts w:ascii="Times New Roman" w:hAnsi="Times New Roman" w:cs="Times New Roman" w:hint="eastAsia"/>
          <w:sz w:val="24"/>
        </w:rPr>
        <w:t>大唐联诚</w:t>
      </w:r>
      <w:proofErr w:type="gramEnd"/>
      <w:r>
        <w:rPr>
          <w:rFonts w:ascii="Times New Roman" w:hAnsi="Times New Roman" w:cs="Times New Roman" w:hint="eastAsia"/>
          <w:sz w:val="24"/>
        </w:rPr>
        <w:t>信息系统技术有限公司</w:t>
      </w:r>
      <w:r>
        <w:rPr>
          <w:rFonts w:ascii="Times New Roman" w:hAnsi="Times New Roman" w:cs="Times New Roman" w:hint="eastAsia"/>
          <w:sz w:val="24"/>
        </w:rPr>
        <w:t>100%</w:t>
      </w:r>
      <w:r>
        <w:rPr>
          <w:rFonts w:ascii="Times New Roman" w:hAnsi="Times New Roman" w:cs="Times New Roman" w:hint="eastAsia"/>
          <w:sz w:val="24"/>
        </w:rPr>
        <w:t>股权并募集配套资金事项，本次收购完成后上市公司将形成“安全芯片</w:t>
      </w:r>
      <w:r>
        <w:rPr>
          <w:rFonts w:ascii="Times New Roman" w:hAnsi="Times New Roman" w:cs="Times New Roman" w:hint="eastAsia"/>
          <w:sz w:val="24"/>
        </w:rPr>
        <w:t>+</w:t>
      </w:r>
      <w:r>
        <w:rPr>
          <w:rFonts w:ascii="Times New Roman" w:hAnsi="Times New Roman" w:cs="Times New Roman" w:hint="eastAsia"/>
          <w:sz w:val="24"/>
        </w:rPr>
        <w:t>特种通信”的整体产业布局，有利于扩大上市公司的资产规模、收入和利润规模，增强上市公司的盈利能力和偿债能力，上市公司正在实施的重组事项有利于与大唐微电子往来款项的解决。</w:t>
      </w:r>
    </w:p>
    <w:p w14:paraId="02950A26"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三、独立财务顾问核查意见</w:t>
      </w:r>
    </w:p>
    <w:p w14:paraId="2AB2F706" w14:textId="77777777" w:rsidR="00BD3166" w:rsidRDefault="00C64679">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经核查，独立财务顾问认为：大唐微电子前述其他应收款主要为与大唐电信</w:t>
      </w:r>
      <w:r>
        <w:rPr>
          <w:rFonts w:ascii="Times New Roman" w:eastAsia="宋体" w:hAnsi="Times New Roman" w:cs="Times New Roman" w:hint="eastAsia"/>
          <w:color w:val="000000"/>
          <w:sz w:val="24"/>
          <w:szCs w:val="24"/>
        </w:rPr>
        <w:lastRenderedPageBreak/>
        <w:t>的借款等资金往来、与北京实利通和发展有限公司的往来款，与北京实利通和发展有限公司的</w:t>
      </w:r>
      <w:r>
        <w:rPr>
          <w:rFonts w:ascii="Times New Roman" w:eastAsia="宋体" w:hAnsi="Times New Roman" w:cs="Times New Roman" w:hint="eastAsia"/>
          <w:color w:val="000000"/>
          <w:sz w:val="24"/>
          <w:szCs w:val="24"/>
        </w:rPr>
        <w:t>17,113.00</w:t>
      </w:r>
      <w:r>
        <w:rPr>
          <w:rFonts w:ascii="Times New Roman" w:eastAsia="宋体" w:hAnsi="Times New Roman" w:cs="Times New Roman" w:hint="eastAsia"/>
          <w:color w:val="000000"/>
          <w:sz w:val="24"/>
          <w:szCs w:val="24"/>
        </w:rPr>
        <w:t>万元往来款已全额计提坏账准备，针对大唐微电子与大唐电信的借款等资金往来计划采取对冲账</w:t>
      </w:r>
      <w:proofErr w:type="gramStart"/>
      <w:r>
        <w:rPr>
          <w:rFonts w:ascii="Times New Roman" w:eastAsia="宋体" w:hAnsi="Times New Roman" w:cs="Times New Roman" w:hint="eastAsia"/>
          <w:color w:val="000000"/>
          <w:sz w:val="24"/>
          <w:szCs w:val="24"/>
        </w:rPr>
        <w:t>务</w:t>
      </w:r>
      <w:proofErr w:type="gramEnd"/>
      <w:r>
        <w:rPr>
          <w:rFonts w:ascii="Times New Roman" w:eastAsia="宋体" w:hAnsi="Times New Roman" w:cs="Times New Roman" w:hint="eastAsia"/>
          <w:color w:val="000000"/>
          <w:sz w:val="24"/>
          <w:szCs w:val="24"/>
        </w:rPr>
        <w:t>以及逐年还款压缩等措施逐年解决。</w:t>
      </w:r>
    </w:p>
    <w:p w14:paraId="2EBB62E5" w14:textId="77777777" w:rsidR="00BD3166" w:rsidRDefault="00C64679">
      <w:pPr>
        <w:spacing w:beforeLines="50" w:before="156" w:afterLines="50" w:after="156" w:line="360" w:lineRule="auto"/>
        <w:ind w:firstLineChars="200" w:firstLine="482"/>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四、会计师核查意见</w:t>
      </w:r>
    </w:p>
    <w:p w14:paraId="65CDC122" w14:textId="77777777" w:rsidR="00BD3166" w:rsidRDefault="00C64679">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经核查，会计师认为：上述公司的说明与我们执行审计程序时获得的信息在所有重大方面是一致的。除上市公司及其子公司外大唐微电子不存在其他大额关联方资金占用情形。</w:t>
      </w:r>
    </w:p>
    <w:p w14:paraId="21771C4E" w14:textId="77777777" w:rsidR="00BD3166" w:rsidRDefault="00C64679">
      <w:pPr>
        <w:pStyle w:val="aa"/>
        <w:spacing w:beforeLines="50" w:before="156" w:afterLines="50" w:after="156" w:line="360" w:lineRule="auto"/>
        <w:ind w:left="420" w:firstLineChars="0" w:firstLine="0"/>
        <w:outlineLvl w:val="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五、补充披露情况</w:t>
      </w:r>
    </w:p>
    <w:p w14:paraId="7185A5D7" w14:textId="77777777" w:rsidR="00BD3166" w:rsidRDefault="00C64679">
      <w:pPr>
        <w:pStyle w:val="aa"/>
        <w:autoSpaceDE w:val="0"/>
        <w:autoSpaceDN w:val="0"/>
        <w:spacing w:beforeLines="50" w:before="156" w:line="360"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公司已在重组报告书“第八节</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管理层讨论与分析”之“三、标的公司的财务状况与盈利能力分析”补充披露标的公司其他应收款的明细内容、金额、收款方、占用性质及期限。</w:t>
      </w:r>
    </w:p>
    <w:bookmarkEnd w:id="3"/>
    <w:p w14:paraId="7B6B539E" w14:textId="77777777" w:rsidR="00AF5A0C" w:rsidRPr="00AF5A0C" w:rsidRDefault="00AF5A0C" w:rsidP="00AF5A0C">
      <w:pPr>
        <w:adjustRightInd w:val="0"/>
        <w:snapToGrid w:val="0"/>
        <w:spacing w:beforeLines="50" w:before="156" w:afterLines="50" w:after="156" w:line="360" w:lineRule="auto"/>
        <w:ind w:leftChars="50" w:left="105" w:rightChars="50" w:right="105" w:firstLineChars="200" w:firstLine="480"/>
        <w:rPr>
          <w:rFonts w:ascii="宋体" w:eastAsia="宋体" w:hAnsi="宋体" w:cs="Times New Roman"/>
          <w:sz w:val="24"/>
          <w:szCs w:val="24"/>
        </w:rPr>
      </w:pPr>
      <w:r w:rsidRPr="00AF5A0C">
        <w:rPr>
          <w:rFonts w:ascii="宋体" w:eastAsia="宋体" w:hAnsi="宋体" w:cs="Times New Roman" w:hint="eastAsia"/>
          <w:sz w:val="24"/>
          <w:szCs w:val="24"/>
        </w:rPr>
        <w:t>特此公告。</w:t>
      </w:r>
    </w:p>
    <w:p w14:paraId="5F73D9EB" w14:textId="77777777" w:rsidR="00AF5A0C" w:rsidRPr="00AF5A0C" w:rsidRDefault="00AF5A0C" w:rsidP="00AF5A0C">
      <w:pPr>
        <w:adjustRightInd w:val="0"/>
        <w:snapToGrid w:val="0"/>
        <w:spacing w:line="360" w:lineRule="auto"/>
        <w:jc w:val="right"/>
        <w:rPr>
          <w:rFonts w:ascii="宋体" w:eastAsia="宋体" w:hAnsi="宋体" w:cs="Times New Roman" w:hint="eastAsia"/>
          <w:sz w:val="24"/>
          <w:szCs w:val="24"/>
        </w:rPr>
      </w:pPr>
      <w:bookmarkStart w:id="31" w:name="_GoBack"/>
      <w:bookmarkEnd w:id="31"/>
    </w:p>
    <w:p w14:paraId="7A7C006F" w14:textId="77777777" w:rsidR="00AF5A0C" w:rsidRPr="00AF5A0C" w:rsidRDefault="00AF5A0C" w:rsidP="00AF5A0C">
      <w:pPr>
        <w:adjustRightInd w:val="0"/>
        <w:snapToGrid w:val="0"/>
        <w:spacing w:line="360" w:lineRule="auto"/>
        <w:jc w:val="right"/>
        <w:rPr>
          <w:rFonts w:ascii="宋体" w:eastAsia="宋体" w:hAnsi="宋体" w:cs="Times New Roman"/>
          <w:sz w:val="24"/>
          <w:szCs w:val="24"/>
        </w:rPr>
      </w:pPr>
      <w:r w:rsidRPr="00AF5A0C">
        <w:rPr>
          <w:rFonts w:ascii="宋体" w:eastAsia="宋体" w:hAnsi="宋体" w:cs="Times New Roman" w:hint="eastAsia"/>
          <w:sz w:val="24"/>
          <w:szCs w:val="24"/>
        </w:rPr>
        <w:t>大唐电信科技股份有限公司董事会</w:t>
      </w:r>
    </w:p>
    <w:p w14:paraId="02298A07" w14:textId="4F4A91A0" w:rsidR="00AF5A0C" w:rsidRPr="00AF5A0C" w:rsidRDefault="00AF5A0C" w:rsidP="00AF5A0C">
      <w:pPr>
        <w:adjustRightInd w:val="0"/>
        <w:snapToGrid w:val="0"/>
        <w:spacing w:line="360" w:lineRule="auto"/>
        <w:jc w:val="right"/>
        <w:rPr>
          <w:rFonts w:ascii="宋体" w:eastAsia="宋体" w:hAnsi="宋体" w:cs="Times New Roman"/>
          <w:sz w:val="24"/>
          <w:szCs w:val="24"/>
        </w:rPr>
      </w:pPr>
      <w:r w:rsidRPr="00AF5A0C">
        <w:rPr>
          <w:rFonts w:ascii="宋体" w:eastAsia="宋体" w:hAnsi="宋体" w:cs="Times New Roman"/>
          <w:sz w:val="24"/>
          <w:szCs w:val="24"/>
        </w:rPr>
        <w:t>20</w:t>
      </w:r>
      <w:r w:rsidRPr="00AF5A0C">
        <w:rPr>
          <w:rFonts w:ascii="宋体" w:eastAsia="宋体" w:hAnsi="宋体" w:cs="Times New Roman" w:hint="eastAsia"/>
          <w:sz w:val="24"/>
          <w:szCs w:val="24"/>
        </w:rPr>
        <w:t>21</w:t>
      </w:r>
      <w:r w:rsidRPr="00AF5A0C">
        <w:rPr>
          <w:rFonts w:ascii="宋体" w:eastAsia="宋体" w:hAnsi="宋体" w:cs="Times New Roman"/>
          <w:sz w:val="24"/>
          <w:szCs w:val="24"/>
        </w:rPr>
        <w:t>年</w:t>
      </w:r>
      <w:r w:rsidRPr="00AF5A0C">
        <w:rPr>
          <w:rFonts w:ascii="宋体" w:eastAsia="宋体" w:hAnsi="宋体" w:cs="Times New Roman" w:hint="eastAsia"/>
          <w:sz w:val="24"/>
          <w:szCs w:val="24"/>
        </w:rPr>
        <w:t>7</w:t>
      </w:r>
      <w:r w:rsidRPr="00AF5A0C">
        <w:rPr>
          <w:rFonts w:ascii="宋体" w:eastAsia="宋体" w:hAnsi="宋体" w:cs="Times New Roman"/>
          <w:sz w:val="24"/>
          <w:szCs w:val="24"/>
        </w:rPr>
        <w:t>月</w:t>
      </w:r>
      <w:r w:rsidRPr="00AF5A0C">
        <w:rPr>
          <w:rFonts w:ascii="宋体" w:eastAsia="宋体" w:hAnsi="宋体" w:cs="Times New Roman" w:hint="eastAsia"/>
          <w:sz w:val="24"/>
          <w:szCs w:val="24"/>
        </w:rPr>
        <w:t>2</w:t>
      </w:r>
      <w:r>
        <w:rPr>
          <w:rFonts w:ascii="宋体" w:eastAsia="宋体" w:hAnsi="宋体" w:cs="Times New Roman" w:hint="eastAsia"/>
          <w:sz w:val="24"/>
          <w:szCs w:val="24"/>
        </w:rPr>
        <w:t>2</w:t>
      </w:r>
      <w:r w:rsidRPr="00AF5A0C">
        <w:rPr>
          <w:rFonts w:ascii="宋体" w:eastAsia="宋体" w:hAnsi="宋体" w:cs="Times New Roman"/>
          <w:sz w:val="24"/>
          <w:szCs w:val="24"/>
        </w:rPr>
        <w:t>日</w:t>
      </w:r>
    </w:p>
    <w:p w14:paraId="2F380A37" w14:textId="77777777" w:rsidR="00BD3166" w:rsidRDefault="00BD3166">
      <w:pPr>
        <w:spacing w:line="360" w:lineRule="auto"/>
        <w:ind w:firstLineChars="200" w:firstLine="480"/>
        <w:rPr>
          <w:rFonts w:ascii="Times New Roman" w:hAnsi="Times New Roman" w:cs="Times New Roman"/>
          <w:sz w:val="24"/>
        </w:rPr>
      </w:pPr>
    </w:p>
    <w:sectPr w:rsidR="00BD316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CA854" w14:textId="77777777" w:rsidR="00276AD8" w:rsidRDefault="00276AD8">
      <w:r>
        <w:separator/>
      </w:r>
    </w:p>
  </w:endnote>
  <w:endnote w:type="continuationSeparator" w:id="0">
    <w:p w14:paraId="16E93947" w14:textId="77777777" w:rsidR="00276AD8" w:rsidRDefault="0027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幼圆">
    <w:panose1 w:val="02010509060101010101"/>
    <w:charset w:val="86"/>
    <w:family w:val="modern"/>
    <w:pitch w:val="fixed"/>
    <w:sig w:usb0="00000001" w:usb1="080E0000" w:usb2="00000010" w:usb3="00000000" w:csb0="00040000" w:csb1="00000000"/>
  </w:font>
  <w:font w:name="昆仑楷体">
    <w:altName w:val="宋体"/>
    <w:charset w:val="00"/>
    <w:family w:val="auto"/>
    <w:pitch w:val="default"/>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810411"/>
    </w:sdtPr>
    <w:sdtEndPr>
      <w:rPr>
        <w:rFonts w:ascii="Times New Roman" w:hAnsi="Times New Roman" w:cs="Times New Roman"/>
      </w:rPr>
    </w:sdtEndPr>
    <w:sdtContent>
      <w:p w14:paraId="5BE3D849" w14:textId="77777777" w:rsidR="00BD3166" w:rsidRDefault="00C64679">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AF5A0C" w:rsidRPr="00AF5A0C">
          <w:rPr>
            <w:rFonts w:ascii="Times New Roman" w:hAnsi="Times New Roman" w:cs="Times New Roman"/>
            <w:noProof/>
            <w:lang w:val="zh-CN"/>
          </w:rPr>
          <w:t>65</w:t>
        </w:r>
        <w:r>
          <w:rPr>
            <w:rFonts w:ascii="Times New Roman" w:hAnsi="Times New Roman" w:cs="Times New Roman"/>
          </w:rPr>
          <w:fldChar w:fldCharType="end"/>
        </w:r>
      </w:p>
    </w:sdtContent>
  </w:sdt>
  <w:p w14:paraId="4EED3FBC" w14:textId="77777777" w:rsidR="00BD3166" w:rsidRDefault="00BD31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689E3" w14:textId="77777777" w:rsidR="00276AD8" w:rsidRDefault="00276AD8">
      <w:r>
        <w:separator/>
      </w:r>
    </w:p>
  </w:footnote>
  <w:footnote w:type="continuationSeparator" w:id="0">
    <w:p w14:paraId="7E1005AE" w14:textId="77777777" w:rsidR="00276AD8" w:rsidRDefault="00276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21E"/>
    <w:rsid w:val="00005A81"/>
    <w:rsid w:val="00005F8D"/>
    <w:rsid w:val="00012F01"/>
    <w:rsid w:val="00020435"/>
    <w:rsid w:val="00020EDC"/>
    <w:rsid w:val="00021BAB"/>
    <w:rsid w:val="0002532D"/>
    <w:rsid w:val="0002563B"/>
    <w:rsid w:val="00030BD0"/>
    <w:rsid w:val="00037E20"/>
    <w:rsid w:val="00045DEB"/>
    <w:rsid w:val="0005033E"/>
    <w:rsid w:val="00060D7E"/>
    <w:rsid w:val="000620CE"/>
    <w:rsid w:val="0006334F"/>
    <w:rsid w:val="0006449B"/>
    <w:rsid w:val="00066AE3"/>
    <w:rsid w:val="000C1941"/>
    <w:rsid w:val="000C762C"/>
    <w:rsid w:val="000D78B4"/>
    <w:rsid w:val="000F30D1"/>
    <w:rsid w:val="000F3AF5"/>
    <w:rsid w:val="000F50BF"/>
    <w:rsid w:val="00103E8C"/>
    <w:rsid w:val="00104E73"/>
    <w:rsid w:val="00117F5A"/>
    <w:rsid w:val="001202F3"/>
    <w:rsid w:val="00125665"/>
    <w:rsid w:val="001549A5"/>
    <w:rsid w:val="00154EA0"/>
    <w:rsid w:val="00163CCB"/>
    <w:rsid w:val="00167A0E"/>
    <w:rsid w:val="001900D8"/>
    <w:rsid w:val="00192D6E"/>
    <w:rsid w:val="001A067A"/>
    <w:rsid w:val="001B71CC"/>
    <w:rsid w:val="001C1F93"/>
    <w:rsid w:val="001C30F1"/>
    <w:rsid w:val="001D0C9E"/>
    <w:rsid w:val="001D3EFA"/>
    <w:rsid w:val="001D5AA7"/>
    <w:rsid w:val="001F3556"/>
    <w:rsid w:val="002062E4"/>
    <w:rsid w:val="002071C4"/>
    <w:rsid w:val="00211F77"/>
    <w:rsid w:val="00212881"/>
    <w:rsid w:val="00214FD5"/>
    <w:rsid w:val="00220976"/>
    <w:rsid w:val="002475C8"/>
    <w:rsid w:val="002623A2"/>
    <w:rsid w:val="00276AD8"/>
    <w:rsid w:val="00290CCB"/>
    <w:rsid w:val="002A1238"/>
    <w:rsid w:val="002B0F72"/>
    <w:rsid w:val="002B765A"/>
    <w:rsid w:val="002C471B"/>
    <w:rsid w:val="002E3805"/>
    <w:rsid w:val="002E3E0D"/>
    <w:rsid w:val="002F052C"/>
    <w:rsid w:val="00304A39"/>
    <w:rsid w:val="003050EB"/>
    <w:rsid w:val="00326B7F"/>
    <w:rsid w:val="003362C0"/>
    <w:rsid w:val="00340A64"/>
    <w:rsid w:val="003432B0"/>
    <w:rsid w:val="00351519"/>
    <w:rsid w:val="00367BA4"/>
    <w:rsid w:val="00377C73"/>
    <w:rsid w:val="00383505"/>
    <w:rsid w:val="00383F2B"/>
    <w:rsid w:val="00384806"/>
    <w:rsid w:val="003A0433"/>
    <w:rsid w:val="003B405D"/>
    <w:rsid w:val="003B777E"/>
    <w:rsid w:val="003C0425"/>
    <w:rsid w:val="003C4B9B"/>
    <w:rsid w:val="003C4DF6"/>
    <w:rsid w:val="003F5375"/>
    <w:rsid w:val="0040466A"/>
    <w:rsid w:val="00421BB6"/>
    <w:rsid w:val="0042290A"/>
    <w:rsid w:val="004318A2"/>
    <w:rsid w:val="0043267C"/>
    <w:rsid w:val="00441064"/>
    <w:rsid w:val="0044635B"/>
    <w:rsid w:val="004777B0"/>
    <w:rsid w:val="00494C2E"/>
    <w:rsid w:val="004A0A08"/>
    <w:rsid w:val="004A4A60"/>
    <w:rsid w:val="004B36BF"/>
    <w:rsid w:val="004C2B63"/>
    <w:rsid w:val="004C64EB"/>
    <w:rsid w:val="004D5703"/>
    <w:rsid w:val="004D58CA"/>
    <w:rsid w:val="004E2B8D"/>
    <w:rsid w:val="004F3DEF"/>
    <w:rsid w:val="004F745C"/>
    <w:rsid w:val="00501579"/>
    <w:rsid w:val="0051446F"/>
    <w:rsid w:val="00525B9E"/>
    <w:rsid w:val="005440F6"/>
    <w:rsid w:val="0055021E"/>
    <w:rsid w:val="005538AE"/>
    <w:rsid w:val="005617E9"/>
    <w:rsid w:val="005652C3"/>
    <w:rsid w:val="00581692"/>
    <w:rsid w:val="00583416"/>
    <w:rsid w:val="00595532"/>
    <w:rsid w:val="005A4185"/>
    <w:rsid w:val="005B2236"/>
    <w:rsid w:val="005B67C4"/>
    <w:rsid w:val="005D2F93"/>
    <w:rsid w:val="005E4A6C"/>
    <w:rsid w:val="005E5EC4"/>
    <w:rsid w:val="005E705E"/>
    <w:rsid w:val="006045C3"/>
    <w:rsid w:val="00615645"/>
    <w:rsid w:val="0062086B"/>
    <w:rsid w:val="00622AAC"/>
    <w:rsid w:val="00636848"/>
    <w:rsid w:val="006420F1"/>
    <w:rsid w:val="00660F3A"/>
    <w:rsid w:val="0066607B"/>
    <w:rsid w:val="00666E1B"/>
    <w:rsid w:val="00667784"/>
    <w:rsid w:val="00691171"/>
    <w:rsid w:val="00692BD1"/>
    <w:rsid w:val="00693EE6"/>
    <w:rsid w:val="006C1D61"/>
    <w:rsid w:val="006D2A27"/>
    <w:rsid w:val="006E32AA"/>
    <w:rsid w:val="006F1008"/>
    <w:rsid w:val="006F1876"/>
    <w:rsid w:val="006F71B5"/>
    <w:rsid w:val="00703E77"/>
    <w:rsid w:val="00710911"/>
    <w:rsid w:val="0071760B"/>
    <w:rsid w:val="00721BB4"/>
    <w:rsid w:val="00722D49"/>
    <w:rsid w:val="007343C0"/>
    <w:rsid w:val="00743A29"/>
    <w:rsid w:val="00750EE3"/>
    <w:rsid w:val="007524C5"/>
    <w:rsid w:val="00754532"/>
    <w:rsid w:val="00754C12"/>
    <w:rsid w:val="00754D1E"/>
    <w:rsid w:val="00765C84"/>
    <w:rsid w:val="00766752"/>
    <w:rsid w:val="0077512E"/>
    <w:rsid w:val="007772C3"/>
    <w:rsid w:val="00787622"/>
    <w:rsid w:val="00790215"/>
    <w:rsid w:val="007902A2"/>
    <w:rsid w:val="007979A6"/>
    <w:rsid w:val="007B758D"/>
    <w:rsid w:val="007C2B1E"/>
    <w:rsid w:val="007D5F06"/>
    <w:rsid w:val="007D7EE0"/>
    <w:rsid w:val="007E6866"/>
    <w:rsid w:val="007E7534"/>
    <w:rsid w:val="007F2B39"/>
    <w:rsid w:val="007F7D06"/>
    <w:rsid w:val="0081697D"/>
    <w:rsid w:val="00825E75"/>
    <w:rsid w:val="00827F9F"/>
    <w:rsid w:val="00832541"/>
    <w:rsid w:val="0085743A"/>
    <w:rsid w:val="00862CA7"/>
    <w:rsid w:val="0088123B"/>
    <w:rsid w:val="00892B82"/>
    <w:rsid w:val="00892FE3"/>
    <w:rsid w:val="008B077B"/>
    <w:rsid w:val="008B123F"/>
    <w:rsid w:val="008B712E"/>
    <w:rsid w:val="008C005F"/>
    <w:rsid w:val="008D25A4"/>
    <w:rsid w:val="008D3CE3"/>
    <w:rsid w:val="008E0F12"/>
    <w:rsid w:val="008E3523"/>
    <w:rsid w:val="008E52F3"/>
    <w:rsid w:val="008F578B"/>
    <w:rsid w:val="00901EFE"/>
    <w:rsid w:val="009027F6"/>
    <w:rsid w:val="00911A65"/>
    <w:rsid w:val="009216EE"/>
    <w:rsid w:val="00966601"/>
    <w:rsid w:val="00974009"/>
    <w:rsid w:val="00974CF3"/>
    <w:rsid w:val="00981C63"/>
    <w:rsid w:val="009B6EC8"/>
    <w:rsid w:val="009F0798"/>
    <w:rsid w:val="009F1136"/>
    <w:rsid w:val="009F1287"/>
    <w:rsid w:val="009F2F4D"/>
    <w:rsid w:val="00A009F4"/>
    <w:rsid w:val="00A02C0F"/>
    <w:rsid w:val="00A30F02"/>
    <w:rsid w:val="00A30FB9"/>
    <w:rsid w:val="00A41C66"/>
    <w:rsid w:val="00A73551"/>
    <w:rsid w:val="00A903C8"/>
    <w:rsid w:val="00A90F3D"/>
    <w:rsid w:val="00A9112A"/>
    <w:rsid w:val="00A9294E"/>
    <w:rsid w:val="00A93925"/>
    <w:rsid w:val="00AA359F"/>
    <w:rsid w:val="00AB4B00"/>
    <w:rsid w:val="00AB5D58"/>
    <w:rsid w:val="00AC59B6"/>
    <w:rsid w:val="00AD7690"/>
    <w:rsid w:val="00AE76C3"/>
    <w:rsid w:val="00AF5A0C"/>
    <w:rsid w:val="00B02874"/>
    <w:rsid w:val="00B11616"/>
    <w:rsid w:val="00B1331E"/>
    <w:rsid w:val="00B13593"/>
    <w:rsid w:val="00B15C18"/>
    <w:rsid w:val="00B22958"/>
    <w:rsid w:val="00B23015"/>
    <w:rsid w:val="00B2463F"/>
    <w:rsid w:val="00B341E8"/>
    <w:rsid w:val="00B405F2"/>
    <w:rsid w:val="00B52216"/>
    <w:rsid w:val="00B64491"/>
    <w:rsid w:val="00B7094F"/>
    <w:rsid w:val="00B84C1D"/>
    <w:rsid w:val="00B85175"/>
    <w:rsid w:val="00BA08A4"/>
    <w:rsid w:val="00BA29CB"/>
    <w:rsid w:val="00BA3030"/>
    <w:rsid w:val="00BB4248"/>
    <w:rsid w:val="00BB6059"/>
    <w:rsid w:val="00BB789E"/>
    <w:rsid w:val="00BC6FFE"/>
    <w:rsid w:val="00BD043A"/>
    <w:rsid w:val="00BD3166"/>
    <w:rsid w:val="00BD4EF5"/>
    <w:rsid w:val="00BD7321"/>
    <w:rsid w:val="00BE7E17"/>
    <w:rsid w:val="00BF1ADF"/>
    <w:rsid w:val="00C16B2C"/>
    <w:rsid w:val="00C21E41"/>
    <w:rsid w:val="00C57EF2"/>
    <w:rsid w:val="00C61693"/>
    <w:rsid w:val="00C62399"/>
    <w:rsid w:val="00C6300F"/>
    <w:rsid w:val="00C64679"/>
    <w:rsid w:val="00C67551"/>
    <w:rsid w:val="00C7194E"/>
    <w:rsid w:val="00C73FB2"/>
    <w:rsid w:val="00C813FF"/>
    <w:rsid w:val="00C85411"/>
    <w:rsid w:val="00C9325A"/>
    <w:rsid w:val="00C95F1A"/>
    <w:rsid w:val="00C960C7"/>
    <w:rsid w:val="00CB3908"/>
    <w:rsid w:val="00CB4F98"/>
    <w:rsid w:val="00CB77C2"/>
    <w:rsid w:val="00CC0961"/>
    <w:rsid w:val="00CC249C"/>
    <w:rsid w:val="00CC40BB"/>
    <w:rsid w:val="00CE05BF"/>
    <w:rsid w:val="00CE7BA1"/>
    <w:rsid w:val="00D01F24"/>
    <w:rsid w:val="00D05C58"/>
    <w:rsid w:val="00D1572E"/>
    <w:rsid w:val="00D22000"/>
    <w:rsid w:val="00D315D5"/>
    <w:rsid w:val="00D31E6B"/>
    <w:rsid w:val="00D55000"/>
    <w:rsid w:val="00D5646F"/>
    <w:rsid w:val="00D62F35"/>
    <w:rsid w:val="00D63216"/>
    <w:rsid w:val="00D738F6"/>
    <w:rsid w:val="00D756B2"/>
    <w:rsid w:val="00D75EF0"/>
    <w:rsid w:val="00D85E6B"/>
    <w:rsid w:val="00D85FF8"/>
    <w:rsid w:val="00D8656F"/>
    <w:rsid w:val="00D8719E"/>
    <w:rsid w:val="00DA18AB"/>
    <w:rsid w:val="00DA18C8"/>
    <w:rsid w:val="00DA2A2E"/>
    <w:rsid w:val="00DB3FF7"/>
    <w:rsid w:val="00DC0035"/>
    <w:rsid w:val="00DD62D2"/>
    <w:rsid w:val="00DD7AF5"/>
    <w:rsid w:val="00DE2CD8"/>
    <w:rsid w:val="00DE6EAA"/>
    <w:rsid w:val="00DF5DF3"/>
    <w:rsid w:val="00DF7BE5"/>
    <w:rsid w:val="00E005B4"/>
    <w:rsid w:val="00E034FC"/>
    <w:rsid w:val="00E16C20"/>
    <w:rsid w:val="00E23CEF"/>
    <w:rsid w:val="00E2522B"/>
    <w:rsid w:val="00E257AF"/>
    <w:rsid w:val="00E34B08"/>
    <w:rsid w:val="00E35AF5"/>
    <w:rsid w:val="00E367D8"/>
    <w:rsid w:val="00E45FC7"/>
    <w:rsid w:val="00E47B7B"/>
    <w:rsid w:val="00E501C1"/>
    <w:rsid w:val="00E529B4"/>
    <w:rsid w:val="00E54798"/>
    <w:rsid w:val="00E729C3"/>
    <w:rsid w:val="00E81E38"/>
    <w:rsid w:val="00E934B7"/>
    <w:rsid w:val="00E964B2"/>
    <w:rsid w:val="00EA1B60"/>
    <w:rsid w:val="00EB1812"/>
    <w:rsid w:val="00EB24D5"/>
    <w:rsid w:val="00EC232C"/>
    <w:rsid w:val="00EC3E2D"/>
    <w:rsid w:val="00ED08B4"/>
    <w:rsid w:val="00ED79C1"/>
    <w:rsid w:val="00EE1A14"/>
    <w:rsid w:val="00EE6097"/>
    <w:rsid w:val="00EF4D4F"/>
    <w:rsid w:val="00F04D13"/>
    <w:rsid w:val="00F113FE"/>
    <w:rsid w:val="00F1481B"/>
    <w:rsid w:val="00F17C6E"/>
    <w:rsid w:val="00F3124A"/>
    <w:rsid w:val="00F436B8"/>
    <w:rsid w:val="00F45A5C"/>
    <w:rsid w:val="00F504CB"/>
    <w:rsid w:val="00F53081"/>
    <w:rsid w:val="00F6110A"/>
    <w:rsid w:val="00F77402"/>
    <w:rsid w:val="00F8326A"/>
    <w:rsid w:val="00F91D0D"/>
    <w:rsid w:val="00FA54B9"/>
    <w:rsid w:val="00FA7001"/>
    <w:rsid w:val="00FB0186"/>
    <w:rsid w:val="00FC34C0"/>
    <w:rsid w:val="00FC5356"/>
    <w:rsid w:val="00FD3410"/>
    <w:rsid w:val="00FE1D7F"/>
    <w:rsid w:val="00FF4672"/>
    <w:rsid w:val="00FF4A1D"/>
    <w:rsid w:val="0B5B3BB7"/>
    <w:rsid w:val="0D0F1121"/>
    <w:rsid w:val="1942370D"/>
    <w:rsid w:val="20813331"/>
    <w:rsid w:val="21126023"/>
    <w:rsid w:val="328E5788"/>
    <w:rsid w:val="35333498"/>
    <w:rsid w:val="365E35C9"/>
    <w:rsid w:val="469C5819"/>
    <w:rsid w:val="47E626C3"/>
    <w:rsid w:val="4BF83EA5"/>
    <w:rsid w:val="52C66372"/>
    <w:rsid w:val="65C60FD7"/>
    <w:rsid w:val="66B81E79"/>
    <w:rsid w:val="68967DB0"/>
    <w:rsid w:val="68A87CB6"/>
    <w:rsid w:val="7AB17B49"/>
    <w:rsid w:val="7E2F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customStyle="1" w:styleId="4Char">
    <w:name w:val="标题 4 Char"/>
    <w:basedOn w:val="a0"/>
    <w:link w:val="4"/>
    <w:qFormat/>
    <w:rPr>
      <w:rFonts w:ascii="Arial" w:eastAsia="黑体" w:hAnsi="Arial"/>
      <w:b/>
      <w:bCs/>
      <w:sz w:val="28"/>
      <w:szCs w:val="28"/>
    </w:rPr>
  </w:style>
  <w:style w:type="paragraph" w:customStyle="1" w:styleId="zw">
    <w:name w:val="zw"/>
    <w:basedOn w:val="a"/>
    <w:qFormat/>
    <w:pPr>
      <w:adjustRightInd w:val="0"/>
      <w:spacing w:line="360" w:lineRule="auto"/>
      <w:ind w:firstLine="482"/>
      <w:textAlignment w:val="baseline"/>
    </w:pPr>
    <w:rPr>
      <w:rFonts w:ascii="Arial Narrow" w:eastAsia="幼圆" w:hAnsi="Arial Narrow"/>
      <w:kern w:val="0"/>
      <w:sz w:val="24"/>
      <w:szCs w:val="20"/>
    </w:rPr>
  </w:style>
  <w:style w:type="character" w:customStyle="1" w:styleId="Char3">
    <w:name w:val="批注主题 Char"/>
    <w:basedOn w:val="Char"/>
    <w:link w:val="a7"/>
    <w:uiPriority w:val="99"/>
    <w:semiHidden/>
    <w:qFormat/>
    <w:rPr>
      <w:b/>
      <w:bCs/>
    </w:rPr>
  </w:style>
  <w:style w:type="table" w:customStyle="1" w:styleId="ab">
    <w:name w:val="立信年报表格"/>
    <w:basedOn w:val="a1"/>
    <w:qFormat/>
    <w:pPr>
      <w:jc w:val="both"/>
    </w:pPr>
    <w:rPr>
      <w:rFonts w:ascii="Times New Roman" w:eastAsia="宋体" w:hAnsi="Times New Roman" w:cs="Times New Roman"/>
      <w:color w:val="000000"/>
      <w:sz w:val="18"/>
    </w:rPr>
    <w:tblPr>
      <w:tblBorders>
        <w:top w:val="single" w:sz="12" w:space="0" w:color="auto"/>
        <w:bottom w:val="single" w:sz="12" w:space="0" w:color="auto"/>
        <w:insideH w:val="dotted" w:sz="4" w:space="0" w:color="auto"/>
        <w:insideV w:val="dotted" w:sz="4" w:space="0" w:color="auto"/>
      </w:tblBorders>
    </w:tblPr>
    <w:tcPr>
      <w:shd w:val="clear" w:color="auto" w:fill="auto"/>
    </w:tcPr>
    <w:tblStylePr w:type="firstRow">
      <w:pPr>
        <w:spacing w:line="400" w:lineRule="atLeast"/>
      </w:pPr>
    </w:tblStylePr>
    <w:tblStylePr w:type="lastRow">
      <w:pPr>
        <w:spacing w:line="400" w:lineRule="atLeast"/>
      </w:pPr>
    </w:tblStylePr>
    <w:tblStylePr w:type="firstCol">
      <w:pPr>
        <w:spacing w:line="400" w:lineRule="atLeast"/>
      </w:pPr>
    </w:tblStylePr>
    <w:tblStylePr w:type="band1Vert">
      <w:pPr>
        <w:spacing w:line="400" w:lineRule="atLeast"/>
      </w:pPr>
    </w:tblStylePr>
    <w:tblStylePr w:type="band2Vert">
      <w:pPr>
        <w:spacing w:line="400" w:lineRule="atLeast"/>
      </w:pPr>
    </w:tblStylePr>
    <w:tblStylePr w:type="band1Horz">
      <w:pPr>
        <w:spacing w:line="400" w:lineRule="atLeast"/>
      </w:pPr>
    </w:tblStylePr>
    <w:tblStylePr w:type="band2Horz">
      <w:pPr>
        <w:spacing w:line="400" w:lineRule="atLeast"/>
      </w:pPr>
    </w:tblStylePr>
    <w:tblStylePr w:type="neCell">
      <w:pPr>
        <w:spacing w:line="400" w:lineRule="atLeast"/>
      </w:pPr>
    </w:tblStylePr>
    <w:tblStylePr w:type="nwCell">
      <w:pPr>
        <w:spacing w:line="400" w:lineRule="atLeast"/>
      </w:pPr>
    </w:tblStylePr>
    <w:tblStylePr w:type="seCell">
      <w:pPr>
        <w:spacing w:line="400" w:lineRule="atLeast"/>
      </w:pPr>
    </w:tblStylePr>
    <w:tblStylePr w:type="swCell">
      <w:pPr>
        <w:spacing w:line="400" w:lineRule="atLeast"/>
      </w:pPr>
    </w:tblStylePr>
  </w:style>
  <w:style w:type="paragraph" w:customStyle="1" w:styleId="ZW0">
    <w:name w:val="ZW"/>
    <w:basedOn w:val="a"/>
    <w:qFormat/>
    <w:pPr>
      <w:adjustRightInd w:val="0"/>
      <w:spacing w:line="440" w:lineRule="atLeast"/>
      <w:ind w:firstLine="601"/>
      <w:textAlignment w:val="baseline"/>
    </w:pPr>
    <w:rPr>
      <w:rFonts w:ascii="Arial Narrow" w:eastAsia="昆仑楷体"/>
      <w:kern w:val="0"/>
      <w:sz w:val="28"/>
      <w:szCs w:val="20"/>
    </w:rPr>
  </w:style>
  <w:style w:type="character" w:customStyle="1" w:styleId="1Char">
    <w:name w:val="标题 1 Char"/>
    <w:basedOn w:val="a0"/>
    <w:link w:val="1"/>
    <w:uiPriority w:val="9"/>
    <w:qFormat/>
    <w:rPr>
      <w:b/>
      <w:bCs/>
      <w:kern w:val="44"/>
      <w:sz w:val="44"/>
      <w:szCs w:val="44"/>
    </w:rPr>
  </w:style>
  <w:style w:type="paragraph" w:customStyle="1" w:styleId="10">
    <w:name w:val="修订1"/>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customStyle="1" w:styleId="4Char">
    <w:name w:val="标题 4 Char"/>
    <w:basedOn w:val="a0"/>
    <w:link w:val="4"/>
    <w:qFormat/>
    <w:rPr>
      <w:rFonts w:ascii="Arial" w:eastAsia="黑体" w:hAnsi="Arial"/>
      <w:b/>
      <w:bCs/>
      <w:sz w:val="28"/>
      <w:szCs w:val="28"/>
    </w:rPr>
  </w:style>
  <w:style w:type="paragraph" w:customStyle="1" w:styleId="zw">
    <w:name w:val="zw"/>
    <w:basedOn w:val="a"/>
    <w:qFormat/>
    <w:pPr>
      <w:adjustRightInd w:val="0"/>
      <w:spacing w:line="360" w:lineRule="auto"/>
      <w:ind w:firstLine="482"/>
      <w:textAlignment w:val="baseline"/>
    </w:pPr>
    <w:rPr>
      <w:rFonts w:ascii="Arial Narrow" w:eastAsia="幼圆" w:hAnsi="Arial Narrow"/>
      <w:kern w:val="0"/>
      <w:sz w:val="24"/>
      <w:szCs w:val="20"/>
    </w:rPr>
  </w:style>
  <w:style w:type="character" w:customStyle="1" w:styleId="Char3">
    <w:name w:val="批注主题 Char"/>
    <w:basedOn w:val="Char"/>
    <w:link w:val="a7"/>
    <w:uiPriority w:val="99"/>
    <w:semiHidden/>
    <w:qFormat/>
    <w:rPr>
      <w:b/>
      <w:bCs/>
    </w:rPr>
  </w:style>
  <w:style w:type="table" w:customStyle="1" w:styleId="ab">
    <w:name w:val="立信年报表格"/>
    <w:basedOn w:val="a1"/>
    <w:qFormat/>
    <w:pPr>
      <w:jc w:val="both"/>
    </w:pPr>
    <w:rPr>
      <w:rFonts w:ascii="Times New Roman" w:eastAsia="宋体" w:hAnsi="Times New Roman" w:cs="Times New Roman"/>
      <w:color w:val="000000"/>
      <w:sz w:val="18"/>
    </w:rPr>
    <w:tblPr>
      <w:tblBorders>
        <w:top w:val="single" w:sz="12" w:space="0" w:color="auto"/>
        <w:bottom w:val="single" w:sz="12" w:space="0" w:color="auto"/>
        <w:insideH w:val="dotted" w:sz="4" w:space="0" w:color="auto"/>
        <w:insideV w:val="dotted" w:sz="4" w:space="0" w:color="auto"/>
      </w:tblBorders>
    </w:tblPr>
    <w:tcPr>
      <w:shd w:val="clear" w:color="auto" w:fill="auto"/>
    </w:tcPr>
    <w:tblStylePr w:type="firstRow">
      <w:pPr>
        <w:spacing w:line="400" w:lineRule="atLeast"/>
      </w:pPr>
    </w:tblStylePr>
    <w:tblStylePr w:type="lastRow">
      <w:pPr>
        <w:spacing w:line="400" w:lineRule="atLeast"/>
      </w:pPr>
    </w:tblStylePr>
    <w:tblStylePr w:type="firstCol">
      <w:pPr>
        <w:spacing w:line="400" w:lineRule="atLeast"/>
      </w:pPr>
    </w:tblStylePr>
    <w:tblStylePr w:type="band1Vert">
      <w:pPr>
        <w:spacing w:line="400" w:lineRule="atLeast"/>
      </w:pPr>
    </w:tblStylePr>
    <w:tblStylePr w:type="band2Vert">
      <w:pPr>
        <w:spacing w:line="400" w:lineRule="atLeast"/>
      </w:pPr>
    </w:tblStylePr>
    <w:tblStylePr w:type="band1Horz">
      <w:pPr>
        <w:spacing w:line="400" w:lineRule="atLeast"/>
      </w:pPr>
    </w:tblStylePr>
    <w:tblStylePr w:type="band2Horz">
      <w:pPr>
        <w:spacing w:line="400" w:lineRule="atLeast"/>
      </w:pPr>
    </w:tblStylePr>
    <w:tblStylePr w:type="neCell">
      <w:pPr>
        <w:spacing w:line="400" w:lineRule="atLeast"/>
      </w:pPr>
    </w:tblStylePr>
    <w:tblStylePr w:type="nwCell">
      <w:pPr>
        <w:spacing w:line="400" w:lineRule="atLeast"/>
      </w:pPr>
    </w:tblStylePr>
    <w:tblStylePr w:type="seCell">
      <w:pPr>
        <w:spacing w:line="400" w:lineRule="atLeast"/>
      </w:pPr>
    </w:tblStylePr>
    <w:tblStylePr w:type="swCell">
      <w:pPr>
        <w:spacing w:line="400" w:lineRule="atLeast"/>
      </w:pPr>
    </w:tblStylePr>
  </w:style>
  <w:style w:type="paragraph" w:customStyle="1" w:styleId="ZW0">
    <w:name w:val="ZW"/>
    <w:basedOn w:val="a"/>
    <w:qFormat/>
    <w:pPr>
      <w:adjustRightInd w:val="0"/>
      <w:spacing w:line="440" w:lineRule="atLeast"/>
      <w:ind w:firstLine="601"/>
      <w:textAlignment w:val="baseline"/>
    </w:pPr>
    <w:rPr>
      <w:rFonts w:ascii="Arial Narrow" w:eastAsia="昆仑楷体"/>
      <w:kern w:val="0"/>
      <w:sz w:val="28"/>
      <w:szCs w:val="20"/>
    </w:rPr>
  </w:style>
  <w:style w:type="character" w:customStyle="1" w:styleId="1Char">
    <w:name w:val="标题 1 Char"/>
    <w:basedOn w:val="a0"/>
    <w:link w:val="1"/>
    <w:uiPriority w:val="9"/>
    <w:qFormat/>
    <w:rPr>
      <w:b/>
      <w:bCs/>
      <w:kern w:val="44"/>
      <w:sz w:val="44"/>
      <w:szCs w:val="44"/>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7BE9E-D2BB-4686-B35E-14F48DD8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65</Pages>
  <Words>8558</Words>
  <Characters>48784</Characters>
  <Application>Microsoft Office Word</Application>
  <DocSecurity>0</DocSecurity>
  <Lines>406</Lines>
  <Paragraphs>114</Paragraphs>
  <ScaleCrop>false</ScaleCrop>
  <Company>中信建投证券股份有限公司</Company>
  <LinksUpToDate>false</LinksUpToDate>
  <CharactersWithSpaces>57228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田文明</dc:creator>
  <cp:lastModifiedBy>wangqingyu     王清宇</cp:lastModifiedBy>
  <cp:revision>60</cp:revision>
  <dcterms:created xsi:type="dcterms:W3CDTF">2021-07-05T06:31:00Z</dcterms:created>
  <dcterms:modified xsi:type="dcterms:W3CDTF">2021-07-21T08:37:00Z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