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01021" w14:textId="1443B830" w:rsidR="00A94717" w:rsidRDefault="0095544F">
      <w:pPr>
        <w:adjustRightInd w:val="0"/>
        <w:snapToGrid w:val="0"/>
        <w:spacing w:beforeLines="50" w:before="156" w:afterLines="50" w:after="156" w:line="360" w:lineRule="auto"/>
        <w:rPr>
          <w:sz w:val="24"/>
        </w:rPr>
      </w:pPr>
      <w:r>
        <w:rPr>
          <w:sz w:val="24"/>
        </w:rPr>
        <w:t>证券代码：</w:t>
      </w:r>
      <w:r>
        <w:rPr>
          <w:sz w:val="24"/>
        </w:rPr>
        <w:t xml:space="preserve">600198          </w:t>
      </w:r>
      <w:r>
        <w:rPr>
          <w:sz w:val="24"/>
        </w:rPr>
        <w:t>证券简称：</w:t>
      </w:r>
      <w:r>
        <w:rPr>
          <w:rFonts w:hint="eastAsia"/>
          <w:kern w:val="0"/>
          <w:sz w:val="24"/>
        </w:rPr>
        <w:t>*</w:t>
      </w:r>
      <w:r>
        <w:rPr>
          <w:kern w:val="0"/>
          <w:sz w:val="24"/>
        </w:rPr>
        <w:t>ST</w:t>
      </w:r>
      <w:r>
        <w:rPr>
          <w:rFonts w:hint="eastAsia"/>
          <w:kern w:val="0"/>
          <w:sz w:val="24"/>
        </w:rPr>
        <w:t>大唐</w:t>
      </w:r>
      <w:r>
        <w:rPr>
          <w:sz w:val="24"/>
        </w:rPr>
        <w:t xml:space="preserve">       </w:t>
      </w:r>
      <w:r>
        <w:rPr>
          <w:sz w:val="24"/>
        </w:rPr>
        <w:t>公告编号：</w:t>
      </w:r>
      <w:r>
        <w:rPr>
          <w:sz w:val="24"/>
        </w:rPr>
        <w:t>2021-</w:t>
      </w:r>
      <w:r w:rsidR="00AF1FF0">
        <w:rPr>
          <w:rFonts w:hint="eastAsia"/>
          <w:sz w:val="24"/>
        </w:rPr>
        <w:t>078</w:t>
      </w:r>
    </w:p>
    <w:p w14:paraId="3EA77E28" w14:textId="77777777" w:rsidR="00A94717" w:rsidRDefault="0095544F">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大唐电信科技股份有限公司</w:t>
      </w:r>
    </w:p>
    <w:p w14:paraId="3A9F98E7" w14:textId="77777777" w:rsidR="00A94717" w:rsidRDefault="0095544F">
      <w:pPr>
        <w:adjustRightInd w:val="0"/>
        <w:snapToGrid w:val="0"/>
        <w:spacing w:line="360" w:lineRule="auto"/>
        <w:ind w:firstLine="510"/>
        <w:jc w:val="center"/>
        <w:rPr>
          <w:rFonts w:ascii="黑体" w:eastAsia="黑体" w:hAnsi="黑体"/>
          <w:b/>
          <w:color w:val="FF0000"/>
          <w:sz w:val="36"/>
          <w:szCs w:val="36"/>
        </w:rPr>
      </w:pPr>
      <w:bookmarkStart w:id="0" w:name="_Hlk22212179"/>
      <w:r>
        <w:rPr>
          <w:rFonts w:ascii="黑体" w:eastAsia="黑体" w:hAnsi="黑体" w:hint="eastAsia"/>
          <w:b/>
          <w:color w:val="FF0000"/>
          <w:sz w:val="36"/>
          <w:szCs w:val="36"/>
        </w:rPr>
        <w:t>关于控股子公司增资之重大资产重组报告书（草案）修订说明的公告</w:t>
      </w:r>
      <w:bookmarkEnd w:id="0"/>
    </w:p>
    <w:p w14:paraId="17B99DA1" w14:textId="77777777" w:rsidR="00A94717" w:rsidRDefault="0095544F">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46E0D672" w14:textId="77777777" w:rsidR="00A94717" w:rsidRDefault="00A94717">
      <w:pPr>
        <w:autoSpaceDE w:val="0"/>
        <w:autoSpaceDN w:val="0"/>
        <w:adjustRightInd w:val="0"/>
        <w:snapToGrid w:val="0"/>
        <w:spacing w:beforeLines="50" w:before="156" w:afterLines="50" w:after="156" w:line="360" w:lineRule="auto"/>
        <w:rPr>
          <w:rFonts w:ascii="宋体" w:hAnsi="宋体"/>
          <w:color w:val="000000"/>
        </w:rPr>
      </w:pPr>
    </w:p>
    <w:p w14:paraId="3A8FACA8" w14:textId="77777777" w:rsidR="00A94717" w:rsidRDefault="0095544F">
      <w:pPr>
        <w:tabs>
          <w:tab w:val="left" w:pos="142"/>
        </w:tabs>
        <w:adjustRightInd w:val="0"/>
        <w:snapToGrid w:val="0"/>
        <w:spacing w:line="360" w:lineRule="auto"/>
        <w:ind w:firstLineChars="200" w:firstLine="480"/>
        <w:rPr>
          <w:rFonts w:ascii="宋体" w:hAnsi="宋体" w:cs="Arial"/>
          <w:sz w:val="24"/>
        </w:rPr>
      </w:pPr>
      <w:r>
        <w:rPr>
          <w:rFonts w:ascii="宋体" w:hAnsi="宋体" w:cs="Arial" w:hint="eastAsia"/>
          <w:sz w:val="24"/>
        </w:rPr>
        <w:t>大唐电信科技股份有限公司（以下简称“公司”或“上市公司”）于</w:t>
      </w:r>
      <w:r>
        <w:rPr>
          <w:sz w:val="24"/>
        </w:rPr>
        <w:t>2021</w:t>
      </w:r>
      <w:r>
        <w:rPr>
          <w:sz w:val="24"/>
        </w:rPr>
        <w:t>年</w:t>
      </w:r>
      <w:r>
        <w:rPr>
          <w:sz w:val="24"/>
        </w:rPr>
        <w:t>6</w:t>
      </w:r>
      <w:r>
        <w:rPr>
          <w:sz w:val="24"/>
        </w:rPr>
        <w:t>月</w:t>
      </w:r>
      <w:r>
        <w:rPr>
          <w:rFonts w:hint="eastAsia"/>
          <w:sz w:val="24"/>
        </w:rPr>
        <w:t>2</w:t>
      </w:r>
      <w:r>
        <w:rPr>
          <w:sz w:val="24"/>
        </w:rPr>
        <w:t>0</w:t>
      </w:r>
      <w:r>
        <w:rPr>
          <w:sz w:val="24"/>
        </w:rPr>
        <w:t>日收到上海证券交易所《</w:t>
      </w:r>
      <w:r>
        <w:rPr>
          <w:rFonts w:hint="eastAsia"/>
          <w:color w:val="000000"/>
          <w:kern w:val="0"/>
          <w:sz w:val="24"/>
        </w:rPr>
        <w:t>关于对大唐电信科技股份有限公司控股子公司增资之重大资产重组报告书（草案）的信息披露问询函</w:t>
      </w:r>
      <w:r>
        <w:rPr>
          <w:sz w:val="24"/>
        </w:rPr>
        <w:t>》（上证公函</w:t>
      </w:r>
      <w:r>
        <w:rPr>
          <w:sz w:val="24"/>
        </w:rPr>
        <w:t>[2021]0635</w:t>
      </w:r>
      <w:r>
        <w:rPr>
          <w:sz w:val="24"/>
        </w:rPr>
        <w:t>号），公司及相关中介机构对有关问题进行了分析，并对《</w:t>
      </w:r>
      <w:r>
        <w:rPr>
          <w:rFonts w:hint="eastAsia"/>
          <w:color w:val="000000"/>
          <w:kern w:val="0"/>
          <w:sz w:val="24"/>
        </w:rPr>
        <w:t>大唐电信科技股份有限公司控股子公司增资之重大资产重组报告书（草案）</w:t>
      </w:r>
      <w:r>
        <w:rPr>
          <w:sz w:val="24"/>
        </w:rPr>
        <w:t>》</w:t>
      </w:r>
      <w:r>
        <w:rPr>
          <w:rFonts w:ascii="宋体" w:hAnsi="宋体" w:cs="Arial" w:hint="eastAsia"/>
          <w:sz w:val="24"/>
        </w:rPr>
        <w:t>等文件进行了补充和完善，形成《</w:t>
      </w:r>
      <w:r>
        <w:rPr>
          <w:rFonts w:hint="eastAsia"/>
          <w:color w:val="000000"/>
          <w:kern w:val="0"/>
          <w:sz w:val="24"/>
        </w:rPr>
        <w:t>大唐电信科技股份有限公司控股子公司增资之重大资产重组报告书（草案）</w:t>
      </w:r>
      <w:r>
        <w:rPr>
          <w:rFonts w:ascii="宋体" w:hAnsi="宋体" w:cs="Arial" w:hint="eastAsia"/>
          <w:sz w:val="24"/>
        </w:rPr>
        <w:t>（修订稿）》（以下简称“报告书（草案）修订稿”），具体修订内容如下：</w:t>
      </w:r>
    </w:p>
    <w:p w14:paraId="7B48C733" w14:textId="38D99F83" w:rsidR="00A42324" w:rsidRDefault="00102B2D" w:rsidP="00A42324">
      <w:pPr>
        <w:tabs>
          <w:tab w:val="left" w:pos="851"/>
        </w:tabs>
        <w:spacing w:beforeLines="50" w:before="156" w:afterLines="50" w:after="156" w:line="360" w:lineRule="auto"/>
        <w:ind w:firstLineChars="200" w:firstLine="480"/>
        <w:rPr>
          <w:rFonts w:ascii="宋体" w:hAnsi="宋体" w:cs="Arial"/>
          <w:sz w:val="24"/>
        </w:rPr>
      </w:pPr>
      <w:r>
        <w:rPr>
          <w:rFonts w:ascii="宋体" w:hAnsi="宋体" w:cs="Arial"/>
          <w:sz w:val="24"/>
        </w:rPr>
        <w:t>1</w:t>
      </w:r>
      <w:r w:rsidR="00A42324">
        <w:rPr>
          <w:rFonts w:ascii="宋体" w:hAnsi="宋体" w:cs="Arial" w:hint="eastAsia"/>
          <w:sz w:val="24"/>
        </w:rPr>
        <w:t>、公司</w:t>
      </w:r>
      <w:r w:rsidR="00A42324">
        <w:rPr>
          <w:rFonts w:ascii="宋体" w:hAnsi="宋体" w:cs="Arial"/>
          <w:sz w:val="24"/>
        </w:rPr>
        <w:t>已在</w:t>
      </w:r>
      <w:r w:rsidR="00A42324">
        <w:rPr>
          <w:rFonts w:ascii="宋体" w:hAnsi="宋体" w:cs="Arial" w:hint="eastAsia"/>
          <w:sz w:val="24"/>
        </w:rPr>
        <w:t>报告书（草案）修订稿“第一节 本次交易概况”之“</w:t>
      </w:r>
      <w:r w:rsidR="00A42324">
        <w:rPr>
          <w:rFonts w:hint="eastAsia"/>
          <w:color w:val="000000"/>
          <w:sz w:val="24"/>
        </w:rPr>
        <w:t>四、本次交易对于上市公司的影响”之“（四）本次交易对标的资产股权控制关系的影响”中</w:t>
      </w:r>
      <w:r w:rsidR="00A42324">
        <w:rPr>
          <w:rFonts w:ascii="宋体" w:hAnsi="宋体" w:cs="Arial" w:hint="eastAsia"/>
          <w:sz w:val="24"/>
        </w:rPr>
        <w:t>补充披露了本次交易完成后标的公司的股权控制关系以及将标的资产继续纳入合并报表范围的依据。</w:t>
      </w:r>
    </w:p>
    <w:p w14:paraId="320EF7F9" w14:textId="32C97D89" w:rsidR="00A42324" w:rsidRDefault="00102B2D" w:rsidP="00A42324">
      <w:pPr>
        <w:tabs>
          <w:tab w:val="left" w:pos="851"/>
        </w:tabs>
        <w:spacing w:beforeLines="50" w:before="156" w:afterLines="50" w:after="156" w:line="360" w:lineRule="auto"/>
        <w:ind w:firstLineChars="200" w:firstLine="480"/>
        <w:rPr>
          <w:rFonts w:ascii="宋体" w:hAnsi="宋体" w:cs="Arial"/>
          <w:sz w:val="24"/>
        </w:rPr>
      </w:pPr>
      <w:r>
        <w:rPr>
          <w:rFonts w:ascii="宋体" w:hAnsi="宋体" w:cs="Arial"/>
          <w:sz w:val="24"/>
        </w:rPr>
        <w:t>2</w:t>
      </w:r>
      <w:r w:rsidR="00A42324">
        <w:rPr>
          <w:rFonts w:ascii="宋体" w:hAnsi="宋体" w:cs="Arial" w:hint="eastAsia"/>
          <w:sz w:val="24"/>
        </w:rPr>
        <w:t>、公司</w:t>
      </w:r>
      <w:r w:rsidR="00A42324">
        <w:rPr>
          <w:rFonts w:ascii="宋体" w:hAnsi="宋体" w:cs="Arial"/>
          <w:sz w:val="24"/>
        </w:rPr>
        <w:t>已在</w:t>
      </w:r>
      <w:r w:rsidR="00A42324">
        <w:rPr>
          <w:rFonts w:ascii="宋体" w:hAnsi="宋体" w:cs="Arial" w:hint="eastAsia"/>
          <w:sz w:val="24"/>
        </w:rPr>
        <w:t>报告书（草案）修订稿</w:t>
      </w:r>
      <w:r w:rsidR="00A42324">
        <w:rPr>
          <w:rFonts w:hint="eastAsia"/>
          <w:color w:val="000000"/>
          <w:sz w:val="24"/>
        </w:rPr>
        <w:t>“第六节</w:t>
      </w:r>
      <w:r w:rsidR="00A42324">
        <w:rPr>
          <w:rFonts w:hint="eastAsia"/>
          <w:color w:val="000000"/>
          <w:sz w:val="24"/>
        </w:rPr>
        <w:t xml:space="preserve"> </w:t>
      </w:r>
      <w:r w:rsidR="00A42324">
        <w:rPr>
          <w:rFonts w:hint="eastAsia"/>
          <w:color w:val="000000"/>
          <w:sz w:val="24"/>
        </w:rPr>
        <w:t>本次交易主要合同”之“三、增资款的使用”中</w:t>
      </w:r>
      <w:r w:rsidR="00A42324">
        <w:rPr>
          <w:rFonts w:ascii="宋体" w:hAnsi="宋体" w:cs="Arial" w:hint="eastAsia"/>
          <w:sz w:val="24"/>
        </w:rPr>
        <w:t>补充披露了增资款项支付时间、方式以及拟偿还债务情况。</w:t>
      </w:r>
    </w:p>
    <w:p w14:paraId="79D842C8" w14:textId="7FDADB26" w:rsidR="00A94717" w:rsidRDefault="00102B2D" w:rsidP="00D50D70">
      <w:pPr>
        <w:tabs>
          <w:tab w:val="left" w:pos="851"/>
        </w:tabs>
        <w:spacing w:beforeLines="50" w:before="156" w:afterLines="50" w:after="156" w:line="360" w:lineRule="auto"/>
        <w:ind w:firstLineChars="200" w:firstLine="480"/>
        <w:rPr>
          <w:rFonts w:ascii="宋体" w:hAnsi="宋体" w:cs="Arial"/>
          <w:sz w:val="24"/>
        </w:rPr>
      </w:pPr>
      <w:r>
        <w:rPr>
          <w:rFonts w:ascii="宋体" w:hAnsi="宋体" w:cs="Arial"/>
          <w:sz w:val="24"/>
        </w:rPr>
        <w:t>3</w:t>
      </w:r>
      <w:r w:rsidR="00A42324">
        <w:rPr>
          <w:rFonts w:ascii="宋体" w:hAnsi="宋体" w:cs="Arial" w:hint="eastAsia"/>
          <w:sz w:val="24"/>
        </w:rPr>
        <w:t>、</w:t>
      </w:r>
      <w:r w:rsidR="00A42324" w:rsidRPr="00A42324">
        <w:rPr>
          <w:rFonts w:ascii="宋体" w:hAnsi="宋体" w:cs="Arial" w:hint="eastAsia"/>
          <w:sz w:val="24"/>
        </w:rPr>
        <w:t>公司已在报告书（草案）修订稿“第</w:t>
      </w:r>
      <w:r w:rsidR="00A42324">
        <w:rPr>
          <w:rFonts w:ascii="宋体" w:hAnsi="宋体" w:cs="Arial" w:hint="eastAsia"/>
          <w:sz w:val="24"/>
        </w:rPr>
        <w:t>六</w:t>
      </w:r>
      <w:r w:rsidR="00A42324" w:rsidRPr="00A42324">
        <w:rPr>
          <w:rFonts w:ascii="宋体" w:hAnsi="宋体" w:cs="Arial" w:hint="eastAsia"/>
          <w:sz w:val="24"/>
        </w:rPr>
        <w:t xml:space="preserve">节  </w:t>
      </w:r>
      <w:r w:rsidR="00A42324">
        <w:rPr>
          <w:rFonts w:ascii="宋体" w:hAnsi="宋体" w:cs="Arial" w:hint="eastAsia"/>
          <w:sz w:val="24"/>
        </w:rPr>
        <w:t>本次交易主要合同</w:t>
      </w:r>
      <w:r w:rsidR="00A42324" w:rsidRPr="00A42324">
        <w:rPr>
          <w:rFonts w:ascii="宋体" w:hAnsi="宋体" w:cs="Arial" w:hint="eastAsia"/>
          <w:sz w:val="24"/>
        </w:rPr>
        <w:t>”之</w:t>
      </w:r>
      <w:r w:rsidR="00A42324">
        <w:rPr>
          <w:rFonts w:ascii="宋体" w:hAnsi="宋体" w:cs="Arial" w:hint="eastAsia"/>
          <w:sz w:val="24"/>
        </w:rPr>
        <w:t>“一、合同主体”</w:t>
      </w:r>
      <w:r w:rsidR="00D50D70">
        <w:rPr>
          <w:rFonts w:ascii="宋体" w:hAnsi="宋体" w:cs="Arial" w:hint="eastAsia"/>
          <w:sz w:val="24"/>
        </w:rPr>
        <w:t>、</w:t>
      </w:r>
      <w:r w:rsidR="00A42324" w:rsidRPr="00A42324">
        <w:rPr>
          <w:rFonts w:ascii="宋体" w:hAnsi="宋体" w:cs="Arial" w:hint="eastAsia"/>
          <w:sz w:val="24"/>
        </w:rPr>
        <w:t>“</w:t>
      </w:r>
      <w:r w:rsidR="00A42324">
        <w:rPr>
          <w:rFonts w:ascii="宋体" w:hAnsi="宋体" w:cs="Arial" w:hint="eastAsia"/>
          <w:sz w:val="24"/>
        </w:rPr>
        <w:t>六</w:t>
      </w:r>
      <w:r w:rsidR="00A42324" w:rsidRPr="00A42324">
        <w:rPr>
          <w:rFonts w:ascii="宋体" w:hAnsi="宋体" w:cs="Arial" w:hint="eastAsia"/>
          <w:sz w:val="24"/>
        </w:rPr>
        <w:t>、</w:t>
      </w:r>
      <w:r w:rsidR="00A42324">
        <w:rPr>
          <w:rFonts w:ascii="宋体" w:hAnsi="宋体" w:cs="Arial" w:hint="eastAsia"/>
          <w:sz w:val="24"/>
        </w:rPr>
        <w:t>利润分配安排</w:t>
      </w:r>
      <w:r w:rsidR="00A42324" w:rsidRPr="00A42324">
        <w:rPr>
          <w:rFonts w:ascii="宋体" w:hAnsi="宋体" w:cs="Arial" w:hint="eastAsia"/>
          <w:sz w:val="24"/>
        </w:rPr>
        <w:t>”</w:t>
      </w:r>
      <w:r w:rsidR="00D50D70">
        <w:rPr>
          <w:rFonts w:ascii="宋体" w:hAnsi="宋体" w:cs="Arial" w:hint="eastAsia"/>
          <w:sz w:val="24"/>
        </w:rPr>
        <w:t>及“七、退出安排”</w:t>
      </w:r>
      <w:r w:rsidR="00A42324">
        <w:rPr>
          <w:rFonts w:ascii="宋体" w:hAnsi="宋体" w:cs="Arial" w:hint="eastAsia"/>
          <w:sz w:val="24"/>
        </w:rPr>
        <w:t>部分</w:t>
      </w:r>
      <w:r w:rsidR="00A42324" w:rsidRPr="00A42324">
        <w:rPr>
          <w:rFonts w:ascii="宋体" w:hAnsi="宋体" w:cs="Arial" w:hint="eastAsia"/>
          <w:sz w:val="24"/>
        </w:rPr>
        <w:t>补充披露了标的</w:t>
      </w:r>
      <w:r w:rsidR="00D50D70">
        <w:rPr>
          <w:rFonts w:ascii="宋体" w:hAnsi="宋体" w:cs="Arial" w:hint="eastAsia"/>
          <w:sz w:val="24"/>
        </w:rPr>
        <w:t>公司</w:t>
      </w:r>
      <w:r w:rsidR="00A42324">
        <w:rPr>
          <w:rFonts w:ascii="宋体" w:hAnsi="宋体" w:cs="Arial" w:hint="eastAsia"/>
          <w:sz w:val="24"/>
        </w:rPr>
        <w:t>本次增资补充协议的签署情况</w:t>
      </w:r>
      <w:r w:rsidR="00D50D70">
        <w:rPr>
          <w:rFonts w:ascii="宋体" w:hAnsi="宋体" w:cs="Arial" w:hint="eastAsia"/>
          <w:sz w:val="24"/>
        </w:rPr>
        <w:t>、标的公司</w:t>
      </w:r>
      <w:r w:rsidR="00A42324">
        <w:rPr>
          <w:rFonts w:ascii="宋体" w:hAnsi="宋体" w:cs="Arial" w:hint="eastAsia"/>
          <w:sz w:val="24"/>
        </w:rPr>
        <w:t>利润分配安排</w:t>
      </w:r>
      <w:r w:rsidR="00D50D70">
        <w:rPr>
          <w:rFonts w:ascii="宋体" w:hAnsi="宋体" w:cs="Arial" w:hint="eastAsia"/>
          <w:sz w:val="24"/>
        </w:rPr>
        <w:t>及投资者退出安排</w:t>
      </w:r>
      <w:r w:rsidR="00A42324" w:rsidRPr="00A42324">
        <w:rPr>
          <w:rFonts w:ascii="宋体" w:hAnsi="宋体" w:cs="Arial" w:hint="eastAsia"/>
          <w:sz w:val="24"/>
        </w:rPr>
        <w:t>。</w:t>
      </w:r>
    </w:p>
    <w:p w14:paraId="7886E43F" w14:textId="3582B4C3" w:rsidR="00A94717" w:rsidRDefault="00102B2D">
      <w:pPr>
        <w:tabs>
          <w:tab w:val="left" w:pos="851"/>
        </w:tabs>
        <w:spacing w:beforeLines="50" w:before="156" w:afterLines="50" w:after="156" w:line="360" w:lineRule="auto"/>
        <w:ind w:firstLineChars="200" w:firstLine="480"/>
        <w:rPr>
          <w:rFonts w:ascii="宋体" w:hAnsi="宋体" w:cs="Arial"/>
          <w:sz w:val="24"/>
        </w:rPr>
      </w:pPr>
      <w:r>
        <w:rPr>
          <w:rFonts w:ascii="宋体" w:hAnsi="宋体" w:cs="Arial"/>
          <w:sz w:val="24"/>
        </w:rPr>
        <w:t>4</w:t>
      </w:r>
      <w:r w:rsidR="0095544F">
        <w:rPr>
          <w:rFonts w:ascii="宋体" w:hAnsi="宋体" w:cs="Arial" w:hint="eastAsia"/>
          <w:sz w:val="24"/>
        </w:rPr>
        <w:t>、公司已在报告书（草案）修订稿“重大风险提示”之“三、与标的资产相关的风险”之“（六）盈利波动风险”和“第十一节  风险因素”之“三、与</w:t>
      </w:r>
      <w:r w:rsidR="0095544F">
        <w:rPr>
          <w:rFonts w:ascii="宋体" w:hAnsi="宋体" w:cs="Arial" w:hint="eastAsia"/>
          <w:sz w:val="24"/>
        </w:rPr>
        <w:lastRenderedPageBreak/>
        <w:t>标的资产相关的风险”之“（六）盈利波动风险”补充披露了标的资产的盈利波动风险。</w:t>
      </w:r>
    </w:p>
    <w:p w14:paraId="69EF2CCF" w14:textId="6EC995A2" w:rsidR="00A94717" w:rsidRDefault="00102B2D">
      <w:pPr>
        <w:tabs>
          <w:tab w:val="left" w:pos="851"/>
        </w:tabs>
        <w:spacing w:beforeLines="50" w:before="156" w:afterLines="50" w:after="156" w:line="360" w:lineRule="auto"/>
        <w:ind w:firstLineChars="200" w:firstLine="480"/>
        <w:rPr>
          <w:rFonts w:ascii="宋体" w:hAnsi="宋体" w:cs="Arial"/>
          <w:sz w:val="24"/>
        </w:rPr>
      </w:pPr>
      <w:r>
        <w:rPr>
          <w:rFonts w:ascii="宋体" w:hAnsi="宋体" w:cs="Arial"/>
          <w:sz w:val="24"/>
        </w:rPr>
        <w:t>5</w:t>
      </w:r>
      <w:r w:rsidR="0095544F">
        <w:rPr>
          <w:rFonts w:ascii="宋体" w:hAnsi="宋体" w:cs="Arial" w:hint="eastAsia"/>
          <w:sz w:val="24"/>
        </w:rPr>
        <w:t>、公司已在报告书（草案）修订稿“</w:t>
      </w:r>
      <w:hyperlink r:id="rId8" w:anchor="_Toc77540820" w:history="1">
        <w:r w:rsidR="0095544F">
          <w:rPr>
            <w:rFonts w:ascii="宋体" w:hAnsi="宋体" w:cs="Arial" w:hint="eastAsia"/>
            <w:sz w:val="24"/>
          </w:rPr>
          <w:t>第五节  交易标的评估情况</w:t>
        </w:r>
      </w:hyperlink>
      <w:r w:rsidR="0095544F">
        <w:rPr>
          <w:rFonts w:ascii="宋体" w:hAnsi="宋体" w:cs="Arial" w:hint="eastAsia"/>
          <w:sz w:val="24"/>
        </w:rPr>
        <w:t>”之“</w:t>
      </w:r>
      <w:hyperlink r:id="rId9" w:anchor="_Toc77540824" w:history="1">
        <w:r w:rsidR="0095544F">
          <w:rPr>
            <w:rFonts w:ascii="宋体" w:hAnsi="宋体" w:cs="Arial" w:hint="eastAsia"/>
            <w:sz w:val="24"/>
          </w:rPr>
          <w:t>四、本次评估的相关说明</w:t>
        </w:r>
      </w:hyperlink>
      <w:r w:rsidR="0095544F">
        <w:rPr>
          <w:rFonts w:ascii="宋体" w:hAnsi="宋体" w:cs="Arial" w:hint="eastAsia"/>
          <w:sz w:val="24"/>
        </w:rPr>
        <w:t>”补充披露了标的资产评估的相关说明。</w:t>
      </w:r>
    </w:p>
    <w:p w14:paraId="1796FF02" w14:textId="17531DC4" w:rsidR="00A94717" w:rsidRDefault="00102B2D">
      <w:pPr>
        <w:tabs>
          <w:tab w:val="left" w:pos="851"/>
        </w:tabs>
        <w:spacing w:beforeLines="50" w:before="156" w:afterLines="50" w:after="156" w:line="360" w:lineRule="auto"/>
        <w:ind w:firstLineChars="200" w:firstLine="480"/>
        <w:rPr>
          <w:rFonts w:ascii="宋体" w:hAnsi="宋体" w:cs="Arial"/>
          <w:sz w:val="24"/>
        </w:rPr>
      </w:pPr>
      <w:r>
        <w:rPr>
          <w:rFonts w:ascii="宋体" w:hAnsi="宋体" w:cs="Arial"/>
          <w:sz w:val="24"/>
        </w:rPr>
        <w:t>6</w:t>
      </w:r>
      <w:r w:rsidR="0095544F">
        <w:rPr>
          <w:rFonts w:ascii="宋体" w:hAnsi="宋体" w:cs="Arial" w:hint="eastAsia"/>
          <w:sz w:val="24"/>
        </w:rPr>
        <w:t>、公司已在报告书（草案）修订稿“第八节 管理层讨论与分析”之“一、本次交易前上市公司财务状况和经营成果的讨论与分析”补充披露了财务整改相关会计处理过程及依据，在所有重大方面符合会计准则要求，不构成前期差错，不需要进行追溯调整；在报告书（草案）修订稿“第八节 管理层讨论与分析”之“</w:t>
      </w:r>
      <w:bookmarkStart w:id="1" w:name="_Toc73542671"/>
      <w:bookmarkStart w:id="2" w:name="_Toc59010852"/>
      <w:bookmarkStart w:id="3" w:name="_Toc59011040"/>
      <w:r w:rsidR="0095544F">
        <w:rPr>
          <w:rFonts w:ascii="宋体" w:hAnsi="宋体" w:cs="Arial" w:hint="eastAsia"/>
          <w:sz w:val="24"/>
        </w:rPr>
        <w:t>三、标的公司的财务状况与盈利能力分析</w:t>
      </w:r>
      <w:bookmarkEnd w:id="1"/>
      <w:bookmarkEnd w:id="2"/>
      <w:bookmarkEnd w:id="3"/>
      <w:r w:rsidR="0095544F">
        <w:rPr>
          <w:rFonts w:ascii="宋体" w:hAnsi="宋体" w:cs="Arial" w:hint="eastAsia"/>
          <w:sz w:val="24"/>
        </w:rPr>
        <w:t>”中补充披露了相关刑事案件和民事诉讼最新进展情况，相关预计负债充分计提，对标的公司财务情况、经营成果、现金流的影响，以及对标的公司持续盈利能力的影响。</w:t>
      </w:r>
    </w:p>
    <w:p w14:paraId="5793B41F" w14:textId="36CB4E0E" w:rsidR="00A94717" w:rsidRDefault="00102B2D">
      <w:pPr>
        <w:tabs>
          <w:tab w:val="left" w:pos="142"/>
        </w:tabs>
        <w:adjustRightInd w:val="0"/>
        <w:snapToGrid w:val="0"/>
        <w:spacing w:line="360" w:lineRule="auto"/>
        <w:ind w:firstLineChars="200" w:firstLine="480"/>
        <w:rPr>
          <w:sz w:val="24"/>
        </w:rPr>
      </w:pPr>
      <w:r>
        <w:rPr>
          <w:rFonts w:ascii="宋体" w:hAnsi="宋体" w:cs="Arial"/>
          <w:sz w:val="24"/>
        </w:rPr>
        <w:t>7</w:t>
      </w:r>
      <w:r w:rsidR="0095544F">
        <w:rPr>
          <w:rFonts w:hint="eastAsia"/>
          <w:sz w:val="24"/>
        </w:rPr>
        <w:t>、公司已在</w:t>
      </w:r>
      <w:r w:rsidR="0095544F">
        <w:rPr>
          <w:rFonts w:ascii="宋体" w:hAnsi="宋体" w:cs="Arial" w:hint="eastAsia"/>
          <w:sz w:val="24"/>
        </w:rPr>
        <w:t>报告书（草案）修订稿</w:t>
      </w:r>
      <w:r w:rsidR="0095544F">
        <w:rPr>
          <w:rFonts w:hint="eastAsia"/>
          <w:sz w:val="24"/>
        </w:rPr>
        <w:t>“第六节</w:t>
      </w:r>
      <w:r w:rsidR="0095544F">
        <w:rPr>
          <w:rFonts w:hint="eastAsia"/>
          <w:sz w:val="24"/>
        </w:rPr>
        <w:t xml:space="preserve">  </w:t>
      </w:r>
      <w:r w:rsidR="0095544F">
        <w:rPr>
          <w:rFonts w:hint="eastAsia"/>
          <w:sz w:val="24"/>
        </w:rPr>
        <w:t>本次交易债权支付情况”之“一、本次交易债权支付情况”补充披露了转股债务的形成时间、金额、形成原因及资金用途；</w:t>
      </w:r>
      <w:bookmarkStart w:id="4" w:name="_Hlk26738038"/>
      <w:r w:rsidR="0095544F">
        <w:rPr>
          <w:rFonts w:hint="eastAsia"/>
          <w:sz w:val="24"/>
        </w:rPr>
        <w:t>在</w:t>
      </w:r>
      <w:r w:rsidR="0095544F">
        <w:rPr>
          <w:rFonts w:ascii="宋体" w:hAnsi="宋体" w:cs="Arial" w:hint="eastAsia"/>
          <w:sz w:val="24"/>
        </w:rPr>
        <w:t>报告书（草案）修订稿</w:t>
      </w:r>
      <w:r w:rsidR="0095544F">
        <w:rPr>
          <w:rFonts w:hint="eastAsia"/>
          <w:sz w:val="24"/>
        </w:rPr>
        <w:t>“第十三节</w:t>
      </w:r>
      <w:r w:rsidR="0095544F">
        <w:rPr>
          <w:rFonts w:hint="eastAsia"/>
          <w:sz w:val="24"/>
        </w:rPr>
        <w:t xml:space="preserve">  </w:t>
      </w:r>
      <w:r w:rsidR="0095544F">
        <w:rPr>
          <w:rFonts w:hint="eastAsia"/>
          <w:sz w:val="24"/>
        </w:rPr>
        <w:t>其他重要事项”之“一、本次交易完成后上市公司资金、资产被占用的情况”</w:t>
      </w:r>
      <w:bookmarkEnd w:id="4"/>
      <w:r w:rsidR="0095544F">
        <w:rPr>
          <w:rFonts w:hint="eastAsia"/>
          <w:sz w:val="24"/>
        </w:rPr>
        <w:t>补充披露了大唐电信与控股股东及其关联方之间的其他债权债务及资金往来情况。</w:t>
      </w:r>
    </w:p>
    <w:p w14:paraId="5871F8FB" w14:textId="772DE45D" w:rsidR="00A94717" w:rsidRDefault="00102B2D">
      <w:pPr>
        <w:tabs>
          <w:tab w:val="left" w:pos="142"/>
        </w:tabs>
        <w:adjustRightInd w:val="0"/>
        <w:snapToGrid w:val="0"/>
        <w:spacing w:line="360" w:lineRule="auto"/>
        <w:ind w:firstLineChars="200" w:firstLine="480"/>
        <w:rPr>
          <w:rFonts w:ascii="宋体" w:hAnsi="宋体" w:cs="Arial"/>
          <w:sz w:val="24"/>
        </w:rPr>
      </w:pPr>
      <w:r>
        <w:rPr>
          <w:sz w:val="24"/>
        </w:rPr>
        <w:t>8</w:t>
      </w:r>
      <w:r w:rsidR="0095544F">
        <w:rPr>
          <w:sz w:val="24"/>
        </w:rPr>
        <w:t>、公司</w:t>
      </w:r>
      <w:r w:rsidR="0095544F">
        <w:rPr>
          <w:rFonts w:ascii="宋体" w:hAnsi="宋体" w:cs="Arial" w:hint="eastAsia"/>
          <w:sz w:val="24"/>
        </w:rPr>
        <w:t>在报告书（草案）修订稿“第五节  交易标的评估情况”之“一、标的资产评估情况”之“（七）本次交易只采用一种评估方法的原因、合理性及评估结果的公允性”补充披露了本次交易只采用一种评估方法的原因、合理性及评估结果的公允性，只采用一种评估方法是否符合《上市公司重大资产重组管理办法》的要求。</w:t>
      </w:r>
    </w:p>
    <w:p w14:paraId="2769885B" w14:textId="00C0D60B" w:rsidR="00A94717" w:rsidRDefault="00102B2D">
      <w:pPr>
        <w:tabs>
          <w:tab w:val="left" w:pos="142"/>
        </w:tabs>
        <w:adjustRightInd w:val="0"/>
        <w:snapToGrid w:val="0"/>
        <w:spacing w:line="360" w:lineRule="auto"/>
        <w:ind w:firstLineChars="200" w:firstLine="480"/>
        <w:rPr>
          <w:sz w:val="24"/>
        </w:rPr>
      </w:pPr>
      <w:r>
        <w:rPr>
          <w:sz w:val="24"/>
        </w:rPr>
        <w:t>9</w:t>
      </w:r>
      <w:r w:rsidR="0095544F">
        <w:rPr>
          <w:sz w:val="24"/>
        </w:rPr>
        <w:t>、</w:t>
      </w:r>
      <w:r w:rsidR="0095544F">
        <w:rPr>
          <w:rFonts w:hint="eastAsia"/>
          <w:sz w:val="24"/>
        </w:rPr>
        <w:t>公司已在报告书（草案）修订稿“第五节</w:t>
      </w:r>
      <w:r w:rsidR="0095544F">
        <w:rPr>
          <w:rFonts w:hint="eastAsia"/>
          <w:sz w:val="24"/>
        </w:rPr>
        <w:t xml:space="preserve">  </w:t>
      </w:r>
      <w:r w:rsidR="0095544F">
        <w:rPr>
          <w:rFonts w:hint="eastAsia"/>
          <w:sz w:val="24"/>
        </w:rPr>
        <w:t>交易标的评估情况”之“一、标的资产评估情况”之“（六）大唐半导体主要下属公司评估情况”补充披露了大唐</w:t>
      </w:r>
      <w:r w:rsidR="0095544F">
        <w:rPr>
          <w:sz w:val="24"/>
        </w:rPr>
        <w:t>微电子</w:t>
      </w:r>
      <w:r w:rsidR="0095544F">
        <w:rPr>
          <w:rFonts w:hint="eastAsia"/>
          <w:sz w:val="24"/>
        </w:rPr>
        <w:t>未采取收益法进行评估的主要考虑，大唐微电子交易评估作价的依据、评估重大参数假设的合理性以及市场法和资产基础法估值差异较大的原因和合理性。</w:t>
      </w:r>
    </w:p>
    <w:p w14:paraId="16A0D65D" w14:textId="2E1703F8" w:rsidR="00A94717" w:rsidRDefault="00A42324">
      <w:pPr>
        <w:tabs>
          <w:tab w:val="left" w:pos="142"/>
        </w:tabs>
        <w:adjustRightInd w:val="0"/>
        <w:snapToGrid w:val="0"/>
        <w:spacing w:line="360" w:lineRule="auto"/>
        <w:ind w:firstLineChars="200" w:firstLine="480"/>
        <w:rPr>
          <w:sz w:val="24"/>
        </w:rPr>
      </w:pPr>
      <w:r>
        <w:rPr>
          <w:sz w:val="24"/>
        </w:rPr>
        <w:t>1</w:t>
      </w:r>
      <w:r w:rsidR="00102B2D">
        <w:rPr>
          <w:sz w:val="24"/>
        </w:rPr>
        <w:t>0</w:t>
      </w:r>
      <w:r w:rsidR="0095544F">
        <w:rPr>
          <w:sz w:val="24"/>
        </w:rPr>
        <w:t>、</w:t>
      </w:r>
      <w:r w:rsidR="0095544F">
        <w:rPr>
          <w:rFonts w:hint="eastAsia"/>
          <w:sz w:val="24"/>
        </w:rPr>
        <w:t>公司已在报告书（草案）修订稿“第五节</w:t>
      </w:r>
      <w:r w:rsidR="0095544F">
        <w:rPr>
          <w:rFonts w:hint="eastAsia"/>
          <w:sz w:val="24"/>
        </w:rPr>
        <w:t xml:space="preserve">  </w:t>
      </w:r>
      <w:r w:rsidR="0095544F">
        <w:rPr>
          <w:rFonts w:hint="eastAsia"/>
          <w:sz w:val="24"/>
        </w:rPr>
        <w:t>交易标的评估情况”之“一、标的资产评估情况”之“（八）本次交易评估作价的公允性及相关会计处理，对公司当期损益的影响”补充披露了本次交易评估作价的公允性、相关会计处理及</w:t>
      </w:r>
      <w:r w:rsidR="0095544F">
        <w:rPr>
          <w:rFonts w:hint="eastAsia"/>
          <w:sz w:val="24"/>
        </w:rPr>
        <w:lastRenderedPageBreak/>
        <w:t>对公司当期损益的影响。</w:t>
      </w:r>
    </w:p>
    <w:p w14:paraId="334C7651" w14:textId="5328ACA7" w:rsidR="00A94717" w:rsidRDefault="00A42324">
      <w:pPr>
        <w:tabs>
          <w:tab w:val="left" w:pos="142"/>
        </w:tabs>
        <w:adjustRightInd w:val="0"/>
        <w:snapToGrid w:val="0"/>
        <w:spacing w:line="360" w:lineRule="auto"/>
        <w:ind w:firstLineChars="200" w:firstLine="480"/>
        <w:rPr>
          <w:sz w:val="24"/>
        </w:rPr>
      </w:pPr>
      <w:r>
        <w:rPr>
          <w:sz w:val="24"/>
        </w:rPr>
        <w:t>1</w:t>
      </w:r>
      <w:r w:rsidR="00102B2D">
        <w:rPr>
          <w:sz w:val="24"/>
        </w:rPr>
        <w:t>1</w:t>
      </w:r>
      <w:r w:rsidR="0095544F">
        <w:rPr>
          <w:sz w:val="24"/>
        </w:rPr>
        <w:t>、</w:t>
      </w:r>
      <w:r w:rsidR="0095544F">
        <w:rPr>
          <w:rFonts w:hint="eastAsia"/>
          <w:sz w:val="24"/>
        </w:rPr>
        <w:t>公司已在</w:t>
      </w:r>
      <w:r w:rsidR="0095544F">
        <w:rPr>
          <w:rFonts w:ascii="宋体" w:hAnsi="宋体" w:cs="Arial" w:hint="eastAsia"/>
          <w:sz w:val="24"/>
        </w:rPr>
        <w:t>报告书（草案）修订稿</w:t>
      </w:r>
      <w:r w:rsidR="0095544F">
        <w:rPr>
          <w:rFonts w:hint="eastAsia"/>
          <w:sz w:val="24"/>
        </w:rPr>
        <w:t>“第一节</w:t>
      </w:r>
      <w:r w:rsidR="0095544F">
        <w:rPr>
          <w:rFonts w:hint="eastAsia"/>
          <w:sz w:val="24"/>
        </w:rPr>
        <w:t xml:space="preserve">  </w:t>
      </w:r>
      <w:r w:rsidR="0095544F">
        <w:rPr>
          <w:rFonts w:hint="eastAsia"/>
          <w:sz w:val="24"/>
        </w:rPr>
        <w:t>本次交易情况”之“一、本次交易的背景和目的”之“（一）本次交易的背景”补充披露电信科研院实施本次债转股的主要考虑及合理性；本次交易的经济实质及对大唐电信当期损益的影响。</w:t>
      </w:r>
    </w:p>
    <w:p w14:paraId="1763D4AD" w14:textId="3D331738" w:rsidR="00A94717" w:rsidRDefault="00A42324">
      <w:pPr>
        <w:tabs>
          <w:tab w:val="left" w:pos="142"/>
        </w:tabs>
        <w:adjustRightInd w:val="0"/>
        <w:snapToGrid w:val="0"/>
        <w:spacing w:line="360" w:lineRule="auto"/>
        <w:ind w:firstLineChars="200" w:firstLine="480"/>
        <w:rPr>
          <w:sz w:val="24"/>
        </w:rPr>
      </w:pPr>
      <w:r>
        <w:rPr>
          <w:sz w:val="24"/>
        </w:rPr>
        <w:t>1</w:t>
      </w:r>
      <w:r w:rsidR="00102B2D">
        <w:rPr>
          <w:sz w:val="24"/>
        </w:rPr>
        <w:t>2</w:t>
      </w:r>
      <w:r w:rsidR="0095544F">
        <w:rPr>
          <w:rFonts w:hint="eastAsia"/>
          <w:sz w:val="24"/>
        </w:rPr>
        <w:t>、公司已在</w:t>
      </w:r>
      <w:r w:rsidR="0095544F">
        <w:rPr>
          <w:rFonts w:ascii="宋体" w:hAnsi="宋体" w:cs="Arial" w:hint="eastAsia"/>
          <w:sz w:val="24"/>
        </w:rPr>
        <w:t>报告书（草案）修订稿</w:t>
      </w:r>
      <w:r w:rsidR="0095544F">
        <w:rPr>
          <w:rFonts w:hint="eastAsia"/>
          <w:sz w:val="24"/>
        </w:rPr>
        <w:t>“第十三节</w:t>
      </w:r>
      <w:r w:rsidR="0095544F">
        <w:rPr>
          <w:rFonts w:hint="eastAsia"/>
          <w:sz w:val="24"/>
        </w:rPr>
        <w:t xml:space="preserve">  </w:t>
      </w:r>
      <w:r w:rsidR="0095544F">
        <w:rPr>
          <w:rFonts w:hint="eastAsia"/>
          <w:sz w:val="24"/>
        </w:rPr>
        <w:t>其他重要事项”之“七、相关主体买卖上市公司股票的自查情况”补充披露了相关自然人及法人在核查期间内买卖大唐电信股票的情况及相应说明、承诺。</w:t>
      </w:r>
    </w:p>
    <w:p w14:paraId="6BE29CC1" w14:textId="04BEACC7" w:rsidR="00A94717" w:rsidRDefault="00A42324">
      <w:pPr>
        <w:tabs>
          <w:tab w:val="left" w:pos="142"/>
        </w:tabs>
        <w:adjustRightInd w:val="0"/>
        <w:snapToGrid w:val="0"/>
        <w:spacing w:line="360" w:lineRule="auto"/>
        <w:ind w:firstLineChars="200" w:firstLine="480"/>
        <w:rPr>
          <w:sz w:val="24"/>
        </w:rPr>
      </w:pPr>
      <w:r>
        <w:rPr>
          <w:sz w:val="24"/>
        </w:rPr>
        <w:t>1</w:t>
      </w:r>
      <w:r w:rsidR="00102B2D">
        <w:rPr>
          <w:sz w:val="24"/>
        </w:rPr>
        <w:t>3</w:t>
      </w:r>
      <w:r w:rsidR="0095544F">
        <w:rPr>
          <w:rFonts w:hint="eastAsia"/>
          <w:sz w:val="24"/>
        </w:rPr>
        <w:t>、公司已在草案“第六节</w:t>
      </w:r>
      <w:r w:rsidR="0095544F">
        <w:rPr>
          <w:rFonts w:hint="eastAsia"/>
          <w:sz w:val="24"/>
        </w:rPr>
        <w:t xml:space="preserve"> </w:t>
      </w:r>
      <w:r w:rsidR="0095544F">
        <w:rPr>
          <w:rFonts w:hint="eastAsia"/>
          <w:sz w:val="24"/>
        </w:rPr>
        <w:t>本次交易主要合同”之“六、利润分配安排”及“七、退出安排”中补充披露利润分配、退出安排及会计处理相关内容。</w:t>
      </w:r>
    </w:p>
    <w:p w14:paraId="6FA482E2" w14:textId="1E955703" w:rsidR="00A94717" w:rsidRDefault="00A42324">
      <w:pPr>
        <w:tabs>
          <w:tab w:val="left" w:pos="142"/>
        </w:tabs>
        <w:adjustRightInd w:val="0"/>
        <w:snapToGrid w:val="0"/>
        <w:spacing w:line="360" w:lineRule="auto"/>
        <w:ind w:firstLineChars="200" w:firstLine="480"/>
        <w:rPr>
          <w:sz w:val="24"/>
        </w:rPr>
      </w:pPr>
      <w:r>
        <w:rPr>
          <w:sz w:val="24"/>
        </w:rPr>
        <w:t>1</w:t>
      </w:r>
      <w:r w:rsidR="00102B2D">
        <w:rPr>
          <w:sz w:val="24"/>
        </w:rPr>
        <w:t>4</w:t>
      </w:r>
      <w:r w:rsidR="0095544F">
        <w:rPr>
          <w:rFonts w:hint="eastAsia"/>
          <w:sz w:val="24"/>
        </w:rPr>
        <w:t>、公司已在重组报告书“第八节</w:t>
      </w:r>
      <w:r w:rsidR="0095544F">
        <w:rPr>
          <w:rFonts w:hint="eastAsia"/>
          <w:sz w:val="24"/>
        </w:rPr>
        <w:t xml:space="preserve">  </w:t>
      </w:r>
      <w:r w:rsidR="0095544F">
        <w:rPr>
          <w:rFonts w:hint="eastAsia"/>
          <w:sz w:val="24"/>
        </w:rPr>
        <w:t>管理层讨论与分析”之“二、标的公司行业特点和经营情况的讨论与分析”补充披露标的公司各业务板块的基本情况，包括但不限于市场规模、发展趋势、产业政策、业务壁垒、所处地位、竞争对手；公司已在重组报告书“第四节</w:t>
      </w:r>
      <w:r w:rsidR="0095544F">
        <w:rPr>
          <w:rFonts w:hint="eastAsia"/>
          <w:sz w:val="24"/>
        </w:rPr>
        <w:t xml:space="preserve">  </w:t>
      </w:r>
      <w:r w:rsidR="0095544F">
        <w:rPr>
          <w:rFonts w:hint="eastAsia"/>
          <w:sz w:val="24"/>
        </w:rPr>
        <w:t>交易标的基本情况”之“五、标的公司主营业务发展情况”补充披露标的公司各业务板块的业务模式、盈利模式、结算模式、收入确认政策和时点；公司已在重组报告书“第八节</w:t>
      </w:r>
      <w:r w:rsidR="0095544F">
        <w:rPr>
          <w:rFonts w:hint="eastAsia"/>
          <w:sz w:val="24"/>
        </w:rPr>
        <w:t xml:space="preserve">  </w:t>
      </w:r>
      <w:r w:rsidR="0095544F">
        <w:rPr>
          <w:rFonts w:hint="eastAsia"/>
          <w:sz w:val="24"/>
        </w:rPr>
        <w:t>管理层讨论与分析”之“三、标的公司的财务状况与盈利能力分析”补充披露标的公司资产构成与主营业务的匹配度，固定资产折旧政策以及折旧费用计提的合理性，后期标的公司利用前述设备开展经营活动是否存在相关障碍，是否需要新增大额投入；公司已在重组报告书“第八节</w:t>
      </w:r>
      <w:r w:rsidR="0095544F">
        <w:rPr>
          <w:rFonts w:hint="eastAsia"/>
          <w:sz w:val="24"/>
        </w:rPr>
        <w:t xml:space="preserve">  </w:t>
      </w:r>
      <w:r w:rsidR="0095544F">
        <w:rPr>
          <w:rFonts w:hint="eastAsia"/>
          <w:sz w:val="24"/>
        </w:rPr>
        <w:t>管理层讨论与分析”之“三、标的公司的财务状况与盈利能力分析”补充披露标的公司研发投入的具体内容及项目进展、费用化及资本</w:t>
      </w:r>
      <w:proofErr w:type="gramStart"/>
      <w:r w:rsidR="0095544F">
        <w:rPr>
          <w:rFonts w:hint="eastAsia"/>
          <w:sz w:val="24"/>
        </w:rPr>
        <w:t>化金额</w:t>
      </w:r>
      <w:proofErr w:type="gramEnd"/>
      <w:r w:rsidR="0095544F">
        <w:rPr>
          <w:rFonts w:hint="eastAsia"/>
          <w:sz w:val="24"/>
        </w:rPr>
        <w:t>与占比、研发人员人数及受教育程度，是否与同行业可比公司相一致，是否存在明显的技术优势，是否可能面临现有产品或技术被替代的风险，并结合标的公司业务开拓情况，说明研发投入占比提升的原因及合理性。</w:t>
      </w:r>
    </w:p>
    <w:p w14:paraId="153E122A" w14:textId="29D124ED" w:rsidR="00A94717" w:rsidRDefault="0095544F">
      <w:pPr>
        <w:tabs>
          <w:tab w:val="left" w:pos="142"/>
        </w:tabs>
        <w:adjustRightInd w:val="0"/>
        <w:snapToGrid w:val="0"/>
        <w:spacing w:line="360" w:lineRule="auto"/>
        <w:ind w:firstLineChars="200" w:firstLine="480"/>
        <w:rPr>
          <w:sz w:val="24"/>
        </w:rPr>
      </w:pPr>
      <w:r>
        <w:rPr>
          <w:rFonts w:hint="eastAsia"/>
          <w:sz w:val="24"/>
        </w:rPr>
        <w:t>1</w:t>
      </w:r>
      <w:r w:rsidR="00102B2D">
        <w:rPr>
          <w:sz w:val="24"/>
        </w:rPr>
        <w:t>5</w:t>
      </w:r>
      <w:r>
        <w:rPr>
          <w:rFonts w:hint="eastAsia"/>
          <w:sz w:val="24"/>
        </w:rPr>
        <w:t>、公司已在重组报告书“第八节</w:t>
      </w:r>
      <w:r>
        <w:rPr>
          <w:rFonts w:hint="eastAsia"/>
          <w:sz w:val="24"/>
        </w:rPr>
        <w:t xml:space="preserve">  </w:t>
      </w:r>
      <w:r>
        <w:rPr>
          <w:rFonts w:hint="eastAsia"/>
          <w:sz w:val="24"/>
        </w:rPr>
        <w:t>管理层讨论与分析”之“三、标的公司的财务状况与盈利能力分析”补充披露报告期内标的公司各业务板块的营业收入、营业成本、毛利率等主要财务指标，标的公司的偿债能力及流动性，其他应付款和长期应付款的明细内容、付款方。</w:t>
      </w:r>
    </w:p>
    <w:p w14:paraId="094B84B1" w14:textId="3E0CE764" w:rsidR="00A94717" w:rsidRDefault="0095544F">
      <w:pPr>
        <w:tabs>
          <w:tab w:val="left" w:pos="142"/>
        </w:tabs>
        <w:adjustRightInd w:val="0"/>
        <w:snapToGrid w:val="0"/>
        <w:spacing w:line="360" w:lineRule="auto"/>
        <w:ind w:firstLineChars="200" w:firstLine="480"/>
        <w:rPr>
          <w:sz w:val="24"/>
        </w:rPr>
      </w:pPr>
      <w:r>
        <w:rPr>
          <w:rFonts w:hint="eastAsia"/>
          <w:sz w:val="24"/>
        </w:rPr>
        <w:t>1</w:t>
      </w:r>
      <w:r w:rsidR="00102B2D">
        <w:rPr>
          <w:sz w:val="24"/>
        </w:rPr>
        <w:t>6</w:t>
      </w:r>
      <w:r>
        <w:rPr>
          <w:rFonts w:hint="eastAsia"/>
          <w:sz w:val="24"/>
        </w:rPr>
        <w:t>、公司已在重组报告书“第八节</w:t>
      </w:r>
      <w:r>
        <w:rPr>
          <w:rFonts w:hint="eastAsia"/>
          <w:sz w:val="24"/>
        </w:rPr>
        <w:t xml:space="preserve">  </w:t>
      </w:r>
      <w:r>
        <w:rPr>
          <w:rFonts w:hint="eastAsia"/>
          <w:sz w:val="24"/>
        </w:rPr>
        <w:t>管理层讨论与分析”之“三、标的公司的财务状况与盈利能力分析”补充披露标的公司其他应收款的明细内容、金额、</w:t>
      </w:r>
      <w:r>
        <w:rPr>
          <w:rFonts w:hint="eastAsia"/>
          <w:sz w:val="24"/>
        </w:rPr>
        <w:lastRenderedPageBreak/>
        <w:t>收款方、占用性质及期限。</w:t>
      </w:r>
    </w:p>
    <w:p w14:paraId="4804C290" w14:textId="347AA28B" w:rsidR="009879A3" w:rsidRDefault="009879A3">
      <w:pPr>
        <w:tabs>
          <w:tab w:val="left" w:pos="142"/>
        </w:tabs>
        <w:adjustRightInd w:val="0"/>
        <w:snapToGrid w:val="0"/>
        <w:spacing w:line="360" w:lineRule="auto"/>
        <w:ind w:firstLineChars="200" w:firstLine="480"/>
        <w:rPr>
          <w:sz w:val="24"/>
        </w:rPr>
      </w:pPr>
      <w:r>
        <w:rPr>
          <w:rFonts w:hint="eastAsia"/>
          <w:sz w:val="24"/>
        </w:rPr>
        <w:t>1</w:t>
      </w:r>
      <w:r w:rsidR="00102B2D">
        <w:rPr>
          <w:sz w:val="24"/>
        </w:rPr>
        <w:t>7</w:t>
      </w:r>
      <w:r>
        <w:rPr>
          <w:rFonts w:hint="eastAsia"/>
          <w:sz w:val="24"/>
        </w:rPr>
        <w:t>、公司已在重组报告书“</w:t>
      </w:r>
      <w:r w:rsidRPr="009879A3">
        <w:rPr>
          <w:rFonts w:hint="eastAsia"/>
          <w:sz w:val="24"/>
        </w:rPr>
        <w:t>第二节</w:t>
      </w:r>
      <w:r w:rsidRPr="009879A3">
        <w:rPr>
          <w:rFonts w:hint="eastAsia"/>
          <w:sz w:val="24"/>
        </w:rPr>
        <w:t xml:space="preserve">  </w:t>
      </w:r>
      <w:r w:rsidRPr="009879A3">
        <w:rPr>
          <w:rFonts w:hint="eastAsia"/>
          <w:sz w:val="24"/>
        </w:rPr>
        <w:t>上市公司基本情况</w:t>
      </w:r>
      <w:r>
        <w:rPr>
          <w:rFonts w:hint="eastAsia"/>
          <w:sz w:val="24"/>
        </w:rPr>
        <w:t>”之“</w:t>
      </w:r>
      <w:r w:rsidRPr="009879A3">
        <w:rPr>
          <w:rFonts w:hint="eastAsia"/>
          <w:sz w:val="24"/>
        </w:rPr>
        <w:t>五、最近三年重大资产重组情况</w:t>
      </w:r>
      <w:r>
        <w:rPr>
          <w:rFonts w:hint="eastAsia"/>
          <w:sz w:val="24"/>
        </w:rPr>
        <w:t>”补充披露公司拟</w:t>
      </w:r>
      <w:r w:rsidRPr="009879A3">
        <w:rPr>
          <w:rFonts w:hint="eastAsia"/>
          <w:sz w:val="24"/>
        </w:rPr>
        <w:t>以公开挂牌</w:t>
      </w:r>
      <w:proofErr w:type="gramStart"/>
      <w:r w:rsidRPr="009879A3">
        <w:rPr>
          <w:rFonts w:hint="eastAsia"/>
          <w:sz w:val="24"/>
        </w:rPr>
        <w:t>征集受</w:t>
      </w:r>
      <w:proofErr w:type="gramEnd"/>
      <w:r w:rsidRPr="009879A3">
        <w:rPr>
          <w:rFonts w:hint="eastAsia"/>
          <w:sz w:val="24"/>
        </w:rPr>
        <w:t>让方的方式转让下属公司</w:t>
      </w:r>
      <w:proofErr w:type="gramStart"/>
      <w:r w:rsidRPr="009879A3">
        <w:rPr>
          <w:rFonts w:hint="eastAsia"/>
          <w:sz w:val="24"/>
        </w:rPr>
        <w:t>联芯科技</w:t>
      </w:r>
      <w:proofErr w:type="gramEnd"/>
      <w:r w:rsidRPr="009879A3">
        <w:rPr>
          <w:rFonts w:hint="eastAsia"/>
          <w:sz w:val="24"/>
        </w:rPr>
        <w:t>有限公司所持</w:t>
      </w:r>
      <w:proofErr w:type="gramStart"/>
      <w:r w:rsidRPr="009879A3">
        <w:rPr>
          <w:rFonts w:hint="eastAsia"/>
          <w:sz w:val="24"/>
        </w:rPr>
        <w:t>瓴盛科技</w:t>
      </w:r>
      <w:proofErr w:type="gramEnd"/>
      <w:r w:rsidRPr="009879A3">
        <w:rPr>
          <w:rFonts w:hint="eastAsia"/>
          <w:sz w:val="24"/>
        </w:rPr>
        <w:t>有限公司</w:t>
      </w:r>
      <w:r w:rsidRPr="009879A3">
        <w:rPr>
          <w:rFonts w:hint="eastAsia"/>
          <w:sz w:val="24"/>
        </w:rPr>
        <w:t>6.701%</w:t>
      </w:r>
      <w:r w:rsidRPr="009879A3">
        <w:rPr>
          <w:rFonts w:hint="eastAsia"/>
          <w:sz w:val="24"/>
        </w:rPr>
        <w:t>的股权</w:t>
      </w:r>
      <w:r>
        <w:rPr>
          <w:rFonts w:hint="eastAsia"/>
          <w:sz w:val="24"/>
        </w:rPr>
        <w:t>事项。</w:t>
      </w:r>
    </w:p>
    <w:p w14:paraId="312E2CF4" w14:textId="77777777" w:rsidR="00A94717" w:rsidRDefault="0095544F">
      <w:pPr>
        <w:tabs>
          <w:tab w:val="left" w:pos="142"/>
        </w:tabs>
        <w:adjustRightInd w:val="0"/>
        <w:snapToGrid w:val="0"/>
        <w:spacing w:line="360" w:lineRule="auto"/>
        <w:ind w:firstLineChars="200" w:firstLine="480"/>
        <w:rPr>
          <w:sz w:val="24"/>
        </w:rPr>
      </w:pPr>
      <w:r>
        <w:rPr>
          <w:sz w:val="24"/>
        </w:rPr>
        <w:t>上述补充披露及说明的内容已在报告书（草案）（修订稿）中楷体加粗标明，具体修订内容请见公司同日公告的《</w:t>
      </w:r>
      <w:r>
        <w:rPr>
          <w:rFonts w:hint="eastAsia"/>
          <w:sz w:val="24"/>
        </w:rPr>
        <w:t>大唐电信科技股份有限公司关于上海证券交易所对公司控股子公司增资之重大资产重组报告书（草案）信息披露问询函的回复公告</w:t>
      </w:r>
      <w:r>
        <w:rPr>
          <w:sz w:val="24"/>
        </w:rPr>
        <w:t>》《</w:t>
      </w:r>
      <w:r>
        <w:rPr>
          <w:rFonts w:hint="eastAsia"/>
          <w:color w:val="000000"/>
          <w:kern w:val="0"/>
          <w:sz w:val="24"/>
        </w:rPr>
        <w:t>大唐电信科技股份有限公司控股子公司增资之重大资产重组报告书（草案）</w:t>
      </w:r>
      <w:r>
        <w:rPr>
          <w:sz w:val="24"/>
        </w:rPr>
        <w:t>（修订稿）》的相关内容。</w:t>
      </w:r>
    </w:p>
    <w:p w14:paraId="537F5E63" w14:textId="77777777" w:rsidR="00A94717" w:rsidRDefault="0095544F">
      <w:pPr>
        <w:tabs>
          <w:tab w:val="left" w:pos="142"/>
        </w:tabs>
        <w:adjustRightInd w:val="0"/>
        <w:snapToGrid w:val="0"/>
        <w:spacing w:line="360" w:lineRule="auto"/>
        <w:ind w:firstLineChars="200" w:firstLine="480"/>
        <w:rPr>
          <w:sz w:val="24"/>
        </w:rPr>
      </w:pPr>
      <w:r>
        <w:rPr>
          <w:sz w:val="24"/>
        </w:rPr>
        <w:t>特此公告。</w:t>
      </w:r>
    </w:p>
    <w:p w14:paraId="5854DC52" w14:textId="77777777" w:rsidR="00A94717" w:rsidRDefault="00A94717">
      <w:pPr>
        <w:tabs>
          <w:tab w:val="left" w:pos="142"/>
        </w:tabs>
        <w:adjustRightInd w:val="0"/>
        <w:snapToGrid w:val="0"/>
        <w:spacing w:line="360" w:lineRule="auto"/>
        <w:ind w:firstLineChars="200" w:firstLine="480"/>
        <w:rPr>
          <w:sz w:val="24"/>
        </w:rPr>
      </w:pPr>
    </w:p>
    <w:p w14:paraId="4A952642" w14:textId="77777777" w:rsidR="00A94717" w:rsidRDefault="00A94717">
      <w:pPr>
        <w:tabs>
          <w:tab w:val="left" w:pos="142"/>
        </w:tabs>
        <w:adjustRightInd w:val="0"/>
        <w:snapToGrid w:val="0"/>
        <w:spacing w:line="360" w:lineRule="auto"/>
        <w:ind w:firstLineChars="200" w:firstLine="480"/>
        <w:rPr>
          <w:sz w:val="24"/>
        </w:rPr>
      </w:pPr>
    </w:p>
    <w:p w14:paraId="56E97E1A" w14:textId="77777777" w:rsidR="00A94717" w:rsidRDefault="0095544F">
      <w:pPr>
        <w:spacing w:beforeLines="50" w:before="156" w:afterLines="50" w:after="156" w:line="360" w:lineRule="auto"/>
        <w:ind w:rightChars="50" w:right="105" w:firstLine="480"/>
        <w:jc w:val="right"/>
        <w:rPr>
          <w:color w:val="000000"/>
          <w:sz w:val="24"/>
        </w:rPr>
      </w:pPr>
      <w:r>
        <w:rPr>
          <w:color w:val="000000"/>
          <w:sz w:val="24"/>
        </w:rPr>
        <w:t>大唐电信科技股份有限公司董事会</w:t>
      </w:r>
    </w:p>
    <w:p w14:paraId="56979A43" w14:textId="2EFBE116" w:rsidR="00A94717" w:rsidRDefault="0095544F">
      <w:pPr>
        <w:spacing w:beforeLines="50" w:before="156" w:afterLines="50" w:after="156" w:line="360" w:lineRule="auto"/>
        <w:ind w:rightChars="50" w:right="105" w:firstLine="480"/>
        <w:jc w:val="right"/>
      </w:pPr>
      <w:r>
        <w:rPr>
          <w:color w:val="000000"/>
          <w:sz w:val="24"/>
        </w:rPr>
        <w:t>2021</w:t>
      </w:r>
      <w:r>
        <w:rPr>
          <w:color w:val="000000"/>
          <w:sz w:val="24"/>
        </w:rPr>
        <w:t>年</w:t>
      </w:r>
      <w:r w:rsidR="00AF1FF0">
        <w:rPr>
          <w:rFonts w:hint="eastAsia"/>
          <w:sz w:val="24"/>
        </w:rPr>
        <w:t>7</w:t>
      </w:r>
      <w:r>
        <w:rPr>
          <w:color w:val="000000"/>
          <w:sz w:val="24"/>
        </w:rPr>
        <w:t>月</w:t>
      </w:r>
      <w:r w:rsidR="00AF1FF0">
        <w:rPr>
          <w:rFonts w:hint="eastAsia"/>
          <w:sz w:val="24"/>
        </w:rPr>
        <w:t>22</w:t>
      </w:r>
      <w:bookmarkStart w:id="5" w:name="_GoBack"/>
      <w:bookmarkEnd w:id="5"/>
      <w:r>
        <w:rPr>
          <w:color w:val="000000"/>
          <w:sz w:val="24"/>
        </w:rPr>
        <w:t>日</w:t>
      </w:r>
    </w:p>
    <w:p w14:paraId="1105EEFC" w14:textId="77777777" w:rsidR="00A94717" w:rsidRDefault="00A94717">
      <w:pPr>
        <w:tabs>
          <w:tab w:val="left" w:pos="142"/>
        </w:tabs>
        <w:adjustRightInd w:val="0"/>
        <w:snapToGrid w:val="0"/>
        <w:spacing w:line="360" w:lineRule="auto"/>
        <w:ind w:firstLineChars="200" w:firstLine="480"/>
        <w:rPr>
          <w:sz w:val="24"/>
        </w:rPr>
      </w:pPr>
    </w:p>
    <w:sectPr w:rsidR="00A9471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6391" w14:textId="77777777" w:rsidR="00852C10" w:rsidRDefault="00852C10">
      <w:r>
        <w:separator/>
      </w:r>
    </w:p>
  </w:endnote>
  <w:endnote w:type="continuationSeparator" w:id="0">
    <w:p w14:paraId="18D73481" w14:textId="77777777" w:rsidR="00852C10" w:rsidRDefault="0085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206546"/>
    </w:sdtPr>
    <w:sdtEndPr/>
    <w:sdtContent>
      <w:p w14:paraId="66CE9A7F" w14:textId="77777777" w:rsidR="00A94717" w:rsidRDefault="0095544F">
        <w:pPr>
          <w:pStyle w:val="a4"/>
          <w:jc w:val="center"/>
        </w:pPr>
        <w:r>
          <w:fldChar w:fldCharType="begin"/>
        </w:r>
        <w:r>
          <w:instrText>PAGE   \* MERGEFORMAT</w:instrText>
        </w:r>
        <w:r>
          <w:fldChar w:fldCharType="separate"/>
        </w:r>
        <w:r w:rsidR="00AF1FF0" w:rsidRPr="00AF1FF0">
          <w:rPr>
            <w:noProof/>
            <w:lang w:val="zh-CN"/>
          </w:rPr>
          <w:t>4</w:t>
        </w:r>
        <w:r>
          <w:fldChar w:fldCharType="end"/>
        </w:r>
      </w:p>
    </w:sdtContent>
  </w:sdt>
  <w:p w14:paraId="1F09E2BD" w14:textId="77777777" w:rsidR="00A94717" w:rsidRDefault="00A947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E4E86" w14:textId="77777777" w:rsidR="00852C10" w:rsidRDefault="00852C10">
      <w:r>
        <w:separator/>
      </w:r>
    </w:p>
  </w:footnote>
  <w:footnote w:type="continuationSeparator" w:id="0">
    <w:p w14:paraId="7E1A8278" w14:textId="77777777" w:rsidR="00852C10" w:rsidRDefault="00852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95"/>
    <w:rsid w:val="000575AF"/>
    <w:rsid w:val="00077F92"/>
    <w:rsid w:val="0009026B"/>
    <w:rsid w:val="00102B2D"/>
    <w:rsid w:val="00125200"/>
    <w:rsid w:val="0013283D"/>
    <w:rsid w:val="00166077"/>
    <w:rsid w:val="001E7220"/>
    <w:rsid w:val="00227763"/>
    <w:rsid w:val="002E742E"/>
    <w:rsid w:val="003100C6"/>
    <w:rsid w:val="00342F87"/>
    <w:rsid w:val="00356367"/>
    <w:rsid w:val="00361995"/>
    <w:rsid w:val="0039648A"/>
    <w:rsid w:val="003F5556"/>
    <w:rsid w:val="00403641"/>
    <w:rsid w:val="00497B01"/>
    <w:rsid w:val="004B2F16"/>
    <w:rsid w:val="0054439F"/>
    <w:rsid w:val="00567CCD"/>
    <w:rsid w:val="005E30FA"/>
    <w:rsid w:val="00642CA9"/>
    <w:rsid w:val="00697955"/>
    <w:rsid w:val="006A547F"/>
    <w:rsid w:val="006C670E"/>
    <w:rsid w:val="00732AAE"/>
    <w:rsid w:val="00733856"/>
    <w:rsid w:val="00734537"/>
    <w:rsid w:val="00747396"/>
    <w:rsid w:val="007F2E91"/>
    <w:rsid w:val="00852C10"/>
    <w:rsid w:val="0086739E"/>
    <w:rsid w:val="008C24D8"/>
    <w:rsid w:val="008C58E3"/>
    <w:rsid w:val="009255C1"/>
    <w:rsid w:val="0095544F"/>
    <w:rsid w:val="009879A3"/>
    <w:rsid w:val="009A192D"/>
    <w:rsid w:val="009E5F72"/>
    <w:rsid w:val="009F230E"/>
    <w:rsid w:val="00A30B1F"/>
    <w:rsid w:val="00A42324"/>
    <w:rsid w:val="00A51DA4"/>
    <w:rsid w:val="00A94717"/>
    <w:rsid w:val="00AB211A"/>
    <w:rsid w:val="00AB73CC"/>
    <w:rsid w:val="00AF1FF0"/>
    <w:rsid w:val="00AF46F0"/>
    <w:rsid w:val="00B848C5"/>
    <w:rsid w:val="00BE1C4C"/>
    <w:rsid w:val="00BF68A6"/>
    <w:rsid w:val="00C17F14"/>
    <w:rsid w:val="00CA3547"/>
    <w:rsid w:val="00D20167"/>
    <w:rsid w:val="00D50D70"/>
    <w:rsid w:val="00DA4BF5"/>
    <w:rsid w:val="00E022E2"/>
    <w:rsid w:val="00E42257"/>
    <w:rsid w:val="00F22524"/>
    <w:rsid w:val="112633ED"/>
    <w:rsid w:val="1B034DCA"/>
    <w:rsid w:val="20ED5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9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pPr>
      <w:jc w:val="left"/>
    </w:pPr>
    <w:rPr>
      <w:kern w:val="0"/>
      <w:sz w:val="22"/>
      <w:szCs w:val="22"/>
    </w:rPr>
  </w:style>
  <w:style w:type="paragraph" w:styleId="2">
    <w:name w:val="toc 2"/>
    <w:basedOn w:val="a"/>
    <w:next w:val="a"/>
    <w:uiPriority w:val="39"/>
    <w:semiHidden/>
    <w:unhideWhenUsed/>
    <w:pPr>
      <w:tabs>
        <w:tab w:val="right" w:leader="dot" w:pos="8302"/>
      </w:tabs>
      <w:spacing w:line="360" w:lineRule="auto"/>
      <w:ind w:left="210"/>
      <w:jc w:val="left"/>
    </w:pPr>
    <w:rPr>
      <w:rFonts w:eastAsia="黑体"/>
      <w:bCs/>
      <w:smallCaps/>
      <w:sz w:val="24"/>
    </w:rPr>
  </w:style>
  <w:style w:type="character" w:styleId="a6">
    <w:name w:val="FollowedHyperlink"/>
    <w:basedOn w:val="a0"/>
    <w:uiPriority w:val="99"/>
    <w:semiHidden/>
    <w:unhideWhenUsed/>
    <w:rPr>
      <w:color w:val="954F72"/>
      <w:u w:val="single"/>
    </w:rPr>
  </w:style>
  <w:style w:type="character" w:styleId="a7">
    <w:name w:val="Hyperlink"/>
    <w:basedOn w:val="a0"/>
    <w:uiPriority w:val="99"/>
    <w:semiHidden/>
    <w:unhideWhenUsed/>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pPr>
      <w:jc w:val="left"/>
    </w:pPr>
    <w:rPr>
      <w:kern w:val="0"/>
      <w:sz w:val="22"/>
      <w:szCs w:val="22"/>
    </w:rPr>
  </w:style>
  <w:style w:type="paragraph" w:styleId="2">
    <w:name w:val="toc 2"/>
    <w:basedOn w:val="a"/>
    <w:next w:val="a"/>
    <w:uiPriority w:val="39"/>
    <w:semiHidden/>
    <w:unhideWhenUsed/>
    <w:pPr>
      <w:tabs>
        <w:tab w:val="right" w:leader="dot" w:pos="8302"/>
      </w:tabs>
      <w:spacing w:line="360" w:lineRule="auto"/>
      <w:ind w:left="210"/>
      <w:jc w:val="left"/>
    </w:pPr>
    <w:rPr>
      <w:rFonts w:eastAsia="黑体"/>
      <w:bCs/>
      <w:smallCaps/>
      <w:sz w:val="24"/>
    </w:rPr>
  </w:style>
  <w:style w:type="character" w:styleId="a6">
    <w:name w:val="FollowedHyperlink"/>
    <w:basedOn w:val="a0"/>
    <w:uiPriority w:val="99"/>
    <w:semiHidden/>
    <w:unhideWhenUsed/>
    <w:rPr>
      <w:color w:val="954F72"/>
      <w:u w:val="single"/>
    </w:rPr>
  </w:style>
  <w:style w:type="character" w:styleId="a7">
    <w:name w:val="Hyperlink"/>
    <w:basedOn w:val="a0"/>
    <w:uiPriority w:val="99"/>
    <w:semiHidden/>
    <w:unhideWhenUsed/>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Rddms_file/content/301032-149682-10008965-45015891/&#12304;&#20113;&#21327;&#20316;&#32534;&#36753;&#12305;6&#22823;&#21776;&#30005;&#20449;&#31185;&#25216;&#32929;&#20221;&#26377;&#38480;&#20844;&#21496;&#25511;&#32929;&#23376;&#20844;&#21496;&#22686;&#36164;&#20043;&#37325;&#22823;&#36164;&#20135;&#37325;&#32452;&#25253;&#21578;&#20070;&#65288;&#33609;&#26696;&#65289;&#65288;&#20462;&#35746;&#31295;&#65289;.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Rddms_file/content/301032-149682-10008965-45015891/&#12304;&#20113;&#21327;&#20316;&#32534;&#36753;&#12305;6&#22823;&#21776;&#30005;&#20449;&#31185;&#25216;&#32929;&#20221;&#26377;&#38480;&#20844;&#21496;&#25511;&#32929;&#23376;&#20844;&#21496;&#22686;&#36164;&#20043;&#37325;&#22823;&#36164;&#20135;&#37325;&#32452;&#25253;&#21578;&#20070;&#65288;&#33609;&#26696;&#65289;&#65288;&#20462;&#35746;&#31295;&#6528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田文明</dc:creator>
  <cp:lastModifiedBy>wangqingyu     王清宇</cp:lastModifiedBy>
  <cp:revision>39</cp:revision>
  <dcterms:created xsi:type="dcterms:W3CDTF">2019-12-08T13:48:00Z</dcterms:created>
  <dcterms:modified xsi:type="dcterms:W3CDTF">2021-07-21T08:37:00Z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