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25462" w14:textId="665BE7AA" w:rsidR="007C681E" w:rsidRDefault="007C681E" w:rsidP="00CA6540">
      <w:pPr>
        <w:pStyle w:val="1"/>
        <w:spacing w:before="56"/>
        <w:ind w:left="220"/>
        <w:jc w:val="center"/>
      </w:pPr>
      <w:r>
        <w:t>证券代码：</w:t>
      </w:r>
      <w:r w:rsidR="00CA6540" w:rsidRPr="00CA6540">
        <w:t>600198</w:t>
      </w:r>
      <w:r>
        <w:t xml:space="preserve"> </w:t>
      </w:r>
      <w:r w:rsidR="00B16626">
        <w:rPr>
          <w:rFonts w:hint="eastAsia"/>
        </w:rPr>
        <w:t xml:space="preserve">  </w:t>
      </w:r>
      <w:r>
        <w:t>证券简称：</w:t>
      </w:r>
      <w:r w:rsidR="00CA6540" w:rsidRPr="00CA6540">
        <w:t>*ST大唐</w:t>
      </w:r>
      <w:r>
        <w:t xml:space="preserve"> </w:t>
      </w:r>
      <w:r w:rsidR="00B16626">
        <w:rPr>
          <w:rFonts w:hint="eastAsia"/>
        </w:rPr>
        <w:t xml:space="preserve">  </w:t>
      </w:r>
      <w:r>
        <w:t>公告编号：202</w:t>
      </w:r>
      <w:r w:rsidR="00CA6540">
        <w:t>1</w:t>
      </w:r>
      <w:r>
        <w:t>-</w:t>
      </w:r>
      <w:r w:rsidR="00B16626">
        <w:rPr>
          <w:rFonts w:hint="eastAsia"/>
        </w:rPr>
        <w:t>088</w:t>
      </w:r>
    </w:p>
    <w:p w14:paraId="4A43BCBF" w14:textId="77777777" w:rsidR="007C681E" w:rsidRDefault="007C681E" w:rsidP="007C681E">
      <w:pPr>
        <w:pStyle w:val="a5"/>
        <w:spacing w:before="3"/>
        <w:ind w:left="0"/>
        <w:rPr>
          <w:b/>
          <w:sz w:val="31"/>
        </w:rPr>
      </w:pPr>
    </w:p>
    <w:p w14:paraId="117F263F" w14:textId="77777777" w:rsidR="007C681E" w:rsidRPr="00946079" w:rsidRDefault="007C681E" w:rsidP="007C681E">
      <w:pPr>
        <w:pStyle w:val="a5"/>
        <w:spacing w:before="3"/>
        <w:ind w:left="0"/>
        <w:jc w:val="center"/>
        <w:rPr>
          <w:rFonts w:ascii="黑体" w:eastAsia="黑体" w:hAnsi="黑体"/>
          <w:b/>
          <w:color w:val="FF0000"/>
          <w:sz w:val="36"/>
          <w:szCs w:val="36"/>
        </w:rPr>
      </w:pPr>
      <w:r w:rsidRPr="00946079">
        <w:rPr>
          <w:rFonts w:ascii="黑体" w:eastAsia="黑体" w:hAnsi="黑体" w:hint="eastAsia"/>
          <w:b/>
          <w:color w:val="FF0000"/>
          <w:sz w:val="36"/>
          <w:szCs w:val="36"/>
        </w:rPr>
        <w:t>大唐电信科技股份有限公司</w:t>
      </w:r>
    </w:p>
    <w:p w14:paraId="2CFC2498" w14:textId="374E5FE1" w:rsidR="007C681E" w:rsidRPr="00946079" w:rsidRDefault="007C681E" w:rsidP="007C681E">
      <w:pPr>
        <w:pStyle w:val="a5"/>
        <w:spacing w:before="3"/>
        <w:ind w:left="0"/>
        <w:jc w:val="center"/>
        <w:rPr>
          <w:rFonts w:ascii="黑体" w:eastAsia="黑体" w:hAnsi="黑体"/>
          <w:b/>
          <w:color w:val="FF0000"/>
          <w:sz w:val="36"/>
          <w:szCs w:val="36"/>
        </w:rPr>
      </w:pPr>
      <w:r w:rsidRPr="00946079">
        <w:rPr>
          <w:rFonts w:ascii="黑体" w:eastAsia="黑体" w:hAnsi="黑体" w:hint="eastAsia"/>
          <w:b/>
          <w:color w:val="FF0000"/>
          <w:sz w:val="36"/>
          <w:szCs w:val="36"/>
        </w:rPr>
        <w:t>关于本次重组摊薄即期回报的风险提示、填补措施及相关主体承诺的公告</w:t>
      </w:r>
    </w:p>
    <w:p w14:paraId="1BB674ED" w14:textId="746D6EBC" w:rsidR="007C681E" w:rsidRDefault="007C681E" w:rsidP="007C681E">
      <w:pPr>
        <w:pStyle w:val="a5"/>
        <w:spacing w:before="3"/>
        <w:ind w:left="0"/>
        <w:jc w:val="center"/>
        <w:rPr>
          <w:b/>
          <w:sz w:val="31"/>
        </w:rPr>
      </w:pPr>
    </w:p>
    <w:p w14:paraId="253E29D8" w14:textId="54C115A0" w:rsidR="00CA6540" w:rsidRDefault="00CA6540" w:rsidP="007C681E">
      <w:pPr>
        <w:pStyle w:val="a5"/>
        <w:spacing w:before="3"/>
        <w:ind w:left="0"/>
        <w:jc w:val="center"/>
        <w:rPr>
          <w:b/>
          <w:sz w:val="31"/>
        </w:rPr>
      </w:pPr>
      <w:r>
        <w:rPr>
          <w:rFonts w:hint="eastAsia"/>
          <w:b/>
          <w:noProof/>
          <w:sz w:val="31"/>
          <w:lang w:val="en-US" w:bidi="ar-SA"/>
        </w:rPr>
        <mc:AlternateContent>
          <mc:Choice Requires="wps">
            <w:drawing>
              <wp:anchor distT="0" distB="0" distL="0" distR="0" simplePos="0" relativeHeight="251658240" behindDoc="0" locked="0" layoutInCell="1" allowOverlap="1" wp14:anchorId="1BFFC9A0" wp14:editId="0E6781A1">
                <wp:simplePos x="0" y="0"/>
                <wp:positionH relativeFrom="margin">
                  <wp:align>center</wp:align>
                </wp:positionH>
                <wp:positionV relativeFrom="paragraph">
                  <wp:posOffset>12700</wp:posOffset>
                </wp:positionV>
                <wp:extent cx="5419090" cy="626745"/>
                <wp:effectExtent l="0" t="0" r="10160" b="2095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6267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F1ED47" w14:textId="77777777" w:rsidR="007C681E" w:rsidRDefault="007C681E" w:rsidP="007C681E">
                            <w:pPr>
                              <w:pStyle w:val="a5"/>
                              <w:spacing w:before="100"/>
                              <w:ind w:left="587"/>
                            </w:pPr>
                            <w:r>
                              <w:t>本公司董事会及全体董事保证本公告内容不存在任何虚假记载、误导性陈述</w:t>
                            </w:r>
                          </w:p>
                          <w:p w14:paraId="67286C4C" w14:textId="77777777" w:rsidR="007C681E" w:rsidRDefault="007C681E" w:rsidP="007C681E">
                            <w:pPr>
                              <w:pStyle w:val="a5"/>
                              <w:spacing w:before="163"/>
                              <w:ind w:left="108"/>
                            </w:pPr>
                            <w:r>
                              <w:t xml:space="preserve">或者重大遗漏，并对其内容的真实性、准确性和完整性承担个别及连带责任。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FFC9A0" id="_x0000_t202" coordsize="21600,21600" o:spt="202" path="m,l,21600r21600,l21600,xe">
                <v:stroke joinstyle="miter"/>
                <v:path gradientshapeok="t" o:connecttype="rect"/>
              </v:shapetype>
              <v:shape id="文本框 1" o:spid="_x0000_s1026" type="#_x0000_t202" style="position:absolute;left:0;text-align:left;margin-left:0;margin-top:1pt;width:426.7pt;height:49.3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" filled="f" strokeweight=".48pt">
                <v:textbox inset="0,0,0,0">
                  <w:txbxContent>
                    <w:p w14:paraId="07F1ED47" w14:textId="77777777" w:rsidR="007C681E" w:rsidRDefault="007C681E" w:rsidP="007C681E">
                      <w:pPr>
                        <w:pStyle w:val="a7"/>
                        <w:spacing w:before="100"/>
                        <w:ind w:left="587"/>
                      </w:pPr>
                      <w:r>
                        <w:t>本公司董事会及全体董事保证本公告内容不存在任何虚假记载、误导性陈述</w:t>
                      </w:r>
                    </w:p>
                    <w:p w14:paraId="67286C4C" w14:textId="77777777" w:rsidR="007C681E" w:rsidRDefault="007C681E" w:rsidP="007C681E">
                      <w:pPr>
                        <w:pStyle w:val="a7"/>
                        <w:spacing w:before="163"/>
                        <w:ind w:left="108"/>
                      </w:pPr>
                      <w:r>
                        <w:t xml:space="preserve">或者重大遗漏，并对其内容的真实性、准确性和完整性承担个别及连带责任。 </w:t>
                      </w:r>
                    </w:p>
                  </w:txbxContent>
                </v:textbox>
                <w10:wrap anchorx="margin"/>
              </v:shape>
            </w:pict>
          </mc:Fallback>
        </mc:AlternateContent>
      </w:r>
    </w:p>
    <w:p w14:paraId="678D8C87" w14:textId="3C5505DD" w:rsidR="00CA6540" w:rsidRDefault="00CA6540" w:rsidP="007C681E">
      <w:pPr>
        <w:pStyle w:val="a5"/>
        <w:spacing w:before="3"/>
        <w:ind w:left="0"/>
        <w:jc w:val="center"/>
        <w:rPr>
          <w:b/>
          <w:sz w:val="31"/>
        </w:rPr>
      </w:pPr>
    </w:p>
    <w:p w14:paraId="2687BEA3" w14:textId="3F63257F" w:rsidR="007C681E" w:rsidRDefault="007C681E" w:rsidP="00EF3B24">
      <w:pPr>
        <w:pStyle w:val="a5"/>
        <w:spacing w:before="3" w:line="360" w:lineRule="auto"/>
        <w:ind w:left="0" w:firstLineChars="200" w:firstLine="480"/>
        <w:jc w:val="both"/>
        <w:rPr>
          <w:bCs/>
        </w:rPr>
      </w:pPr>
      <w:r w:rsidRPr="007C681E">
        <w:rPr>
          <w:rFonts w:hint="eastAsia"/>
          <w:bCs/>
        </w:rPr>
        <w:t>大唐电信科技股份有限公司（以下简称“大唐电信”或“上市公司”）</w:t>
      </w:r>
      <w:r w:rsidR="0095479F" w:rsidRPr="0095479F">
        <w:rPr>
          <w:rFonts w:hint="eastAsia"/>
          <w:bCs/>
        </w:rPr>
        <w:t>拟</w:t>
      </w:r>
      <w:r w:rsidR="00E015A3" w:rsidRPr="00E015A3">
        <w:rPr>
          <w:rFonts w:hint="eastAsia"/>
          <w:bCs/>
        </w:rPr>
        <w:t>向电信科学技术研究院有限公司、大唐电信科技产业控股有限公司、湖北长江中信科移动通信技术产业投资基金合伙企业（有限合伙）、中国国有企业结构调整基金股份有限公司、北京金融</w:t>
      </w:r>
      <w:proofErr w:type="gramStart"/>
      <w:r w:rsidR="00E015A3" w:rsidRPr="00E015A3">
        <w:rPr>
          <w:rFonts w:hint="eastAsia"/>
          <w:bCs/>
        </w:rPr>
        <w:t>街资本</w:t>
      </w:r>
      <w:proofErr w:type="gramEnd"/>
      <w:r w:rsidR="00E015A3" w:rsidRPr="00E015A3">
        <w:rPr>
          <w:rFonts w:hint="eastAsia"/>
          <w:bCs/>
        </w:rPr>
        <w:t>运营中心</w:t>
      </w:r>
      <w:r w:rsidR="0095479F" w:rsidRPr="0095479F">
        <w:rPr>
          <w:rFonts w:hint="eastAsia"/>
          <w:bCs/>
        </w:rPr>
        <w:t>发行股份购买其持有的</w:t>
      </w:r>
      <w:proofErr w:type="gramStart"/>
      <w:r w:rsidR="0095479F" w:rsidRPr="0095479F">
        <w:rPr>
          <w:rFonts w:hint="eastAsia"/>
          <w:bCs/>
        </w:rPr>
        <w:t>大唐联诚</w:t>
      </w:r>
      <w:proofErr w:type="gramEnd"/>
      <w:r w:rsidR="0095479F" w:rsidRPr="0095479F">
        <w:rPr>
          <w:rFonts w:hint="eastAsia"/>
          <w:bCs/>
        </w:rPr>
        <w:t>信息系统技术有限公司（以下简称“大唐联诚”）</w:t>
      </w:r>
      <w:r w:rsidR="0095479F" w:rsidRPr="0095479F">
        <w:rPr>
          <w:bCs/>
        </w:rPr>
        <w:t>95.001%股权</w:t>
      </w:r>
      <w:r w:rsidRPr="007C681E">
        <w:rPr>
          <w:rFonts w:hint="eastAsia"/>
          <w:bCs/>
        </w:rPr>
        <w:t>，并募集配套资金（以下简称“本次交易”或“本次重大资产重组”）。</w:t>
      </w:r>
    </w:p>
    <w:p w14:paraId="08B44E5A" w14:textId="31441DD3" w:rsidR="007C681E" w:rsidRDefault="007C681E" w:rsidP="00EF3B24">
      <w:pPr>
        <w:pStyle w:val="a5"/>
        <w:spacing w:before="3" w:line="360" w:lineRule="auto"/>
        <w:ind w:left="0" w:firstLineChars="200" w:firstLine="480"/>
        <w:jc w:val="both"/>
        <w:rPr>
          <w:bCs/>
        </w:rPr>
      </w:pPr>
      <w:r w:rsidRPr="007C681E">
        <w:rPr>
          <w:rFonts w:hint="eastAsia"/>
          <w:bCs/>
        </w:rPr>
        <w:t>为保障公司中小投资者知情权，维护中小投资者利益，根据《国务院办公厅关于进一步加强资本市场中小投资者合法权益保护工作的意见》（国办发</w:t>
      </w:r>
      <w:r w:rsidRPr="007C681E">
        <w:rPr>
          <w:bCs/>
        </w:rPr>
        <w:t>[2013]110号）《国务院关于进一步促进资本市场健康发展的若干意见》（国发[2014]17号）《关于首发及再融资、重大资产重组摊薄即期回报有关事项的指导意见》</w:t>
      </w:r>
      <w:bookmarkStart w:id="0" w:name="_Hlk74729647"/>
      <w:r w:rsidRPr="007C681E">
        <w:rPr>
          <w:bCs/>
        </w:rPr>
        <w:t>（中国证券监督管理委员会公告[2015]31号）</w:t>
      </w:r>
      <w:bookmarkEnd w:id="0"/>
      <w:r w:rsidRPr="007C681E">
        <w:rPr>
          <w:bCs/>
        </w:rPr>
        <w:t>等相关规定，公司就本次交易对即期回报摊薄的影响进行了认真、审慎的分析，现将本次交易对公司主要财务指标的影响及公司拟采取的填补措施公告如下：</w:t>
      </w:r>
    </w:p>
    <w:p w14:paraId="290D7202" w14:textId="77777777" w:rsidR="007C681E" w:rsidRPr="00570C7C" w:rsidRDefault="007C681E" w:rsidP="00EF3B24">
      <w:pPr>
        <w:spacing w:beforeLines="50" w:before="156" w:line="360" w:lineRule="auto"/>
        <w:ind w:firstLineChars="200" w:firstLine="482"/>
        <w:jc w:val="both"/>
        <w:rPr>
          <w:rFonts w:ascii="Times New Roman" w:cs="Times New Roman"/>
          <w:b/>
          <w:bCs/>
          <w:sz w:val="24"/>
          <w:szCs w:val="24"/>
        </w:rPr>
      </w:pPr>
      <w:r w:rsidRPr="00570C7C">
        <w:rPr>
          <w:rFonts w:ascii="Times New Roman" w:cs="Times New Roman" w:hint="eastAsia"/>
          <w:b/>
          <w:bCs/>
          <w:sz w:val="24"/>
          <w:szCs w:val="24"/>
        </w:rPr>
        <w:t>一、本次交易的基本情况</w:t>
      </w:r>
    </w:p>
    <w:p w14:paraId="03DB6C74" w14:textId="5744E0B2" w:rsidR="007C681E" w:rsidRDefault="007C681E" w:rsidP="00EF3B24">
      <w:pPr>
        <w:spacing w:beforeLines="50" w:before="156" w:line="360" w:lineRule="auto"/>
        <w:ind w:firstLineChars="200" w:firstLine="480"/>
        <w:jc w:val="both"/>
        <w:rPr>
          <w:rFonts w:ascii="Times New Roman" w:cs="Times New Roman"/>
          <w:sz w:val="24"/>
          <w:szCs w:val="24"/>
        </w:rPr>
      </w:pPr>
      <w:r w:rsidRPr="00C80226">
        <w:rPr>
          <w:rFonts w:ascii="Times New Roman" w:cs="Times New Roman" w:hint="eastAsia"/>
          <w:sz w:val="24"/>
          <w:szCs w:val="24"/>
        </w:rPr>
        <w:t>大唐电信科技股份有限公司</w:t>
      </w:r>
      <w:r w:rsidR="0095479F" w:rsidRPr="0095479F">
        <w:rPr>
          <w:rFonts w:ascii="Times New Roman" w:cs="Times New Roman" w:hint="eastAsia"/>
          <w:sz w:val="24"/>
          <w:szCs w:val="24"/>
        </w:rPr>
        <w:t>拟</w:t>
      </w:r>
      <w:r w:rsidR="00E015A3" w:rsidRPr="00E015A3">
        <w:rPr>
          <w:rFonts w:ascii="Times New Roman" w:cs="Times New Roman" w:hint="eastAsia"/>
          <w:sz w:val="24"/>
          <w:szCs w:val="24"/>
        </w:rPr>
        <w:t>向电信科学技术研究院有限公司、大唐电信科技产业控股有限公司、湖北长江中信科移动通信技术产业投资基金合伙企业（有限合伙）、中国国有企业结构调整基金股份有限公司、北京金融</w:t>
      </w:r>
      <w:proofErr w:type="gramStart"/>
      <w:r w:rsidR="00E015A3" w:rsidRPr="00E015A3">
        <w:rPr>
          <w:rFonts w:ascii="Times New Roman" w:cs="Times New Roman" w:hint="eastAsia"/>
          <w:sz w:val="24"/>
          <w:szCs w:val="24"/>
        </w:rPr>
        <w:t>街资本</w:t>
      </w:r>
      <w:proofErr w:type="gramEnd"/>
      <w:r w:rsidR="00E015A3" w:rsidRPr="00E015A3">
        <w:rPr>
          <w:rFonts w:ascii="Times New Roman" w:cs="Times New Roman" w:hint="eastAsia"/>
          <w:sz w:val="24"/>
          <w:szCs w:val="24"/>
        </w:rPr>
        <w:t>运营中心</w:t>
      </w:r>
      <w:r w:rsidR="0095479F" w:rsidRPr="0095479F">
        <w:rPr>
          <w:rFonts w:ascii="Times New Roman" w:cs="Times New Roman" w:hint="eastAsia"/>
          <w:sz w:val="24"/>
          <w:szCs w:val="24"/>
        </w:rPr>
        <w:t>发行股份购买其持有的</w:t>
      </w:r>
      <w:proofErr w:type="gramStart"/>
      <w:r w:rsidR="0095479F" w:rsidRPr="0095479F">
        <w:rPr>
          <w:rFonts w:ascii="Times New Roman" w:cs="Times New Roman" w:hint="eastAsia"/>
          <w:sz w:val="24"/>
          <w:szCs w:val="24"/>
        </w:rPr>
        <w:t>大唐联诚</w:t>
      </w:r>
      <w:proofErr w:type="gramEnd"/>
      <w:r w:rsidR="0095479F" w:rsidRPr="0095479F">
        <w:rPr>
          <w:rFonts w:ascii="Times New Roman" w:cs="Times New Roman" w:hint="eastAsia"/>
          <w:sz w:val="24"/>
          <w:szCs w:val="24"/>
        </w:rPr>
        <w:t>信息系统技术有限公司</w:t>
      </w:r>
      <w:r w:rsidR="0095479F" w:rsidRPr="0095479F">
        <w:rPr>
          <w:rFonts w:ascii="Times New Roman" w:cs="Times New Roman"/>
          <w:sz w:val="24"/>
          <w:szCs w:val="24"/>
        </w:rPr>
        <w:t>95.001%</w:t>
      </w:r>
      <w:r w:rsidR="0095479F" w:rsidRPr="0095479F">
        <w:rPr>
          <w:rFonts w:ascii="Times New Roman" w:cs="Times New Roman"/>
          <w:sz w:val="24"/>
          <w:szCs w:val="24"/>
        </w:rPr>
        <w:t>股权</w:t>
      </w:r>
      <w:r w:rsidRPr="00C80226">
        <w:rPr>
          <w:rFonts w:ascii="Times New Roman" w:cs="Times New Roman" w:hint="eastAsia"/>
          <w:sz w:val="24"/>
          <w:szCs w:val="24"/>
        </w:rPr>
        <w:t>，并募集配套资金</w:t>
      </w:r>
      <w:r>
        <w:rPr>
          <w:rFonts w:ascii="Times New Roman" w:cs="Times New Roman" w:hint="eastAsia"/>
          <w:sz w:val="24"/>
          <w:szCs w:val="24"/>
        </w:rPr>
        <w:t>。</w:t>
      </w:r>
    </w:p>
    <w:p w14:paraId="13DC5AB0" w14:textId="77777777" w:rsidR="007C681E" w:rsidRPr="00570C7C" w:rsidRDefault="007C681E" w:rsidP="00EF3B24">
      <w:pPr>
        <w:spacing w:beforeLines="50" w:before="156" w:line="360" w:lineRule="auto"/>
        <w:ind w:firstLineChars="200" w:firstLine="482"/>
        <w:jc w:val="both"/>
        <w:rPr>
          <w:rFonts w:ascii="Times New Roman" w:cs="Times New Roman"/>
          <w:b/>
          <w:bCs/>
          <w:sz w:val="24"/>
          <w:szCs w:val="24"/>
        </w:rPr>
      </w:pPr>
      <w:r w:rsidRPr="00570C7C">
        <w:rPr>
          <w:rFonts w:ascii="Times New Roman" w:cs="Times New Roman" w:hint="eastAsia"/>
          <w:b/>
          <w:bCs/>
          <w:sz w:val="24"/>
          <w:szCs w:val="24"/>
        </w:rPr>
        <w:lastRenderedPageBreak/>
        <w:t>二、本次重组摊薄即期回报对公司每股收益的影响</w:t>
      </w:r>
    </w:p>
    <w:p w14:paraId="55373BD7" w14:textId="1613E069" w:rsidR="004A27C2" w:rsidRPr="004A27C2" w:rsidRDefault="004A27C2" w:rsidP="00EF3B24">
      <w:pPr>
        <w:spacing w:beforeLines="50" w:before="156" w:line="360" w:lineRule="auto"/>
        <w:ind w:firstLineChars="200" w:firstLine="480"/>
        <w:jc w:val="both"/>
        <w:rPr>
          <w:rFonts w:cs="Times New Roman"/>
          <w:sz w:val="24"/>
          <w:szCs w:val="24"/>
        </w:rPr>
      </w:pPr>
      <w:r w:rsidRPr="004A27C2">
        <w:rPr>
          <w:rFonts w:cs="Times New Roman"/>
          <w:sz w:val="24"/>
          <w:szCs w:val="24"/>
        </w:rPr>
        <w:t>根据立信会计事务所（特殊普通合伙）出具的《</w:t>
      </w:r>
      <w:r w:rsidRPr="004A27C2">
        <w:rPr>
          <w:rFonts w:cs="Times New Roman" w:hint="eastAsia"/>
          <w:sz w:val="24"/>
          <w:szCs w:val="24"/>
        </w:rPr>
        <w:t>大唐电信科技股份有限公司2020审计报告</w:t>
      </w:r>
      <w:r w:rsidRPr="004A27C2">
        <w:rPr>
          <w:rFonts w:cs="Times New Roman"/>
          <w:sz w:val="24"/>
          <w:szCs w:val="24"/>
        </w:rPr>
        <w:t>》（</w:t>
      </w:r>
      <w:r w:rsidRPr="004A27C2">
        <w:rPr>
          <w:rFonts w:cs="Times New Roman" w:hint="eastAsia"/>
          <w:sz w:val="24"/>
          <w:szCs w:val="24"/>
        </w:rPr>
        <w:t>信会师报字[2021]第ZG11031号</w:t>
      </w:r>
      <w:r w:rsidRPr="004A27C2">
        <w:rPr>
          <w:rFonts w:cs="Times New Roman"/>
          <w:sz w:val="24"/>
          <w:szCs w:val="24"/>
        </w:rPr>
        <w:t>）和按本次交易完成后架构编制的上市公司《</w:t>
      </w:r>
      <w:r w:rsidRPr="004A27C2">
        <w:rPr>
          <w:rFonts w:cs="Times New Roman" w:hint="eastAsia"/>
          <w:sz w:val="24"/>
          <w:szCs w:val="24"/>
        </w:rPr>
        <w:t>大唐电信科技股份有限公司</w:t>
      </w:r>
      <w:r w:rsidRPr="004A27C2">
        <w:rPr>
          <w:rFonts w:cs="Times New Roman"/>
          <w:sz w:val="24"/>
          <w:szCs w:val="24"/>
        </w:rPr>
        <w:t>备考合并财务报表</w:t>
      </w:r>
      <w:r w:rsidRPr="004A27C2">
        <w:rPr>
          <w:rFonts w:cs="Times New Roman" w:hint="eastAsia"/>
          <w:sz w:val="24"/>
          <w:szCs w:val="24"/>
        </w:rPr>
        <w:t>审阅</w:t>
      </w:r>
      <w:r w:rsidRPr="004A27C2">
        <w:rPr>
          <w:rFonts w:cs="Times New Roman"/>
          <w:sz w:val="24"/>
          <w:szCs w:val="24"/>
        </w:rPr>
        <w:t>报告》（</w:t>
      </w:r>
      <w:r w:rsidRPr="004A27C2">
        <w:rPr>
          <w:rFonts w:cs="Times New Roman" w:hint="eastAsia"/>
          <w:sz w:val="24"/>
          <w:szCs w:val="24"/>
        </w:rPr>
        <w:t>信会师报字[2021]第【</w:t>
      </w:r>
      <w:r w:rsidR="0041676B" w:rsidRPr="0041676B">
        <w:rPr>
          <w:rFonts w:cs="Times New Roman"/>
          <w:sz w:val="24"/>
          <w:szCs w:val="24"/>
        </w:rPr>
        <w:t>ZG11653</w:t>
      </w:r>
      <w:r w:rsidRPr="004A27C2">
        <w:rPr>
          <w:rFonts w:cs="Times New Roman" w:hint="eastAsia"/>
          <w:sz w:val="24"/>
          <w:szCs w:val="24"/>
        </w:rPr>
        <w:t>】号</w:t>
      </w:r>
      <w:r w:rsidRPr="004A27C2">
        <w:rPr>
          <w:rFonts w:cs="Times New Roman"/>
          <w:sz w:val="24"/>
          <w:szCs w:val="24"/>
        </w:rPr>
        <w:t>），本次交易完成前后上市公司近一年一期的主要财务指标情况比较如下：</w:t>
      </w:r>
    </w:p>
    <w:p w14:paraId="42FF788D" w14:textId="77777777" w:rsidR="004A27C2" w:rsidRDefault="004A27C2" w:rsidP="004A27C2">
      <w:pPr>
        <w:spacing w:line="253" w:lineRule="exact"/>
        <w:ind w:right="371"/>
        <w:jc w:val="right"/>
        <w:rPr>
          <w:sz w:val="21"/>
        </w:rPr>
      </w:pPr>
      <w:r>
        <w:rPr>
          <w:sz w:val="21"/>
        </w:rPr>
        <w:t>单位：万元</w:t>
      </w:r>
    </w:p>
    <w:p w14:paraId="5DC0A412" w14:textId="77777777" w:rsidR="004A27C2" w:rsidRDefault="004A27C2" w:rsidP="004A27C2">
      <w:pPr>
        <w:rPr>
          <w:sz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5"/>
        <w:gridCol w:w="1705"/>
        <w:gridCol w:w="1704"/>
        <w:gridCol w:w="1704"/>
        <w:gridCol w:w="1704"/>
      </w:tblGrid>
      <w:tr w:rsidR="00AE5534" w:rsidRPr="00602A0D" w14:paraId="6D51319C" w14:textId="77777777" w:rsidTr="00BB4E54">
        <w:trPr>
          <w:trHeight w:val="288"/>
        </w:trPr>
        <w:tc>
          <w:tcPr>
            <w:tcW w:w="1000" w:type="pct"/>
            <w:vMerge w:val="restart"/>
            <w:shd w:val="clear" w:color="auto" w:fill="auto"/>
            <w:vAlign w:val="center"/>
            <w:hideMark/>
          </w:tcPr>
          <w:p w14:paraId="21356511" w14:textId="77777777" w:rsidR="00AE5534" w:rsidRPr="00602A0D" w:rsidRDefault="00AE5534" w:rsidP="00BB4E54">
            <w:pPr>
              <w:widowControl/>
              <w:autoSpaceDE/>
              <w:autoSpaceDN/>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项目</w:t>
            </w:r>
          </w:p>
        </w:tc>
        <w:tc>
          <w:tcPr>
            <w:tcW w:w="2000" w:type="pct"/>
            <w:gridSpan w:val="2"/>
            <w:shd w:val="clear" w:color="auto" w:fill="auto"/>
            <w:vAlign w:val="center"/>
            <w:hideMark/>
          </w:tcPr>
          <w:p w14:paraId="1872FDC4"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2021</w:t>
            </w:r>
            <w:r w:rsidRPr="00602A0D">
              <w:rPr>
                <w:rFonts w:ascii="Times New Roman" w:hAnsi="Times New Roman" w:cs="Times New Roman"/>
                <w:b/>
                <w:bCs/>
                <w:color w:val="000000"/>
                <w:sz w:val="21"/>
                <w:szCs w:val="21"/>
              </w:rPr>
              <w:t>年</w:t>
            </w:r>
            <w:r w:rsidRPr="00602A0D">
              <w:rPr>
                <w:rFonts w:ascii="Times New Roman" w:hAnsi="Times New Roman" w:cs="Times New Roman"/>
                <w:b/>
                <w:bCs/>
                <w:color w:val="000000"/>
                <w:sz w:val="21"/>
                <w:szCs w:val="21"/>
              </w:rPr>
              <w:t xml:space="preserve">1-4 </w:t>
            </w:r>
            <w:r w:rsidRPr="00602A0D">
              <w:rPr>
                <w:rFonts w:ascii="Times New Roman" w:hAnsi="Times New Roman" w:cs="Times New Roman"/>
                <w:b/>
                <w:bCs/>
                <w:color w:val="000000"/>
                <w:sz w:val="21"/>
                <w:szCs w:val="21"/>
              </w:rPr>
              <w:t>月</w:t>
            </w:r>
            <w:r w:rsidRPr="00602A0D">
              <w:rPr>
                <w:rFonts w:ascii="Times New Roman" w:hAnsi="Times New Roman" w:cs="Times New Roman"/>
                <w:b/>
                <w:bCs/>
                <w:color w:val="000000"/>
                <w:sz w:val="21"/>
                <w:szCs w:val="21"/>
              </w:rPr>
              <w:t>/</w:t>
            </w:r>
          </w:p>
          <w:p w14:paraId="0E7E11B6"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 xml:space="preserve">2021 </w:t>
            </w:r>
            <w:r w:rsidRPr="00602A0D">
              <w:rPr>
                <w:rFonts w:ascii="Times New Roman" w:hAnsi="Times New Roman" w:cs="Times New Roman"/>
                <w:b/>
                <w:bCs/>
                <w:color w:val="000000"/>
                <w:sz w:val="21"/>
                <w:szCs w:val="21"/>
              </w:rPr>
              <w:t>年</w:t>
            </w:r>
            <w:r w:rsidRPr="00602A0D">
              <w:rPr>
                <w:rFonts w:ascii="Times New Roman" w:hAnsi="Times New Roman" w:cs="Times New Roman"/>
                <w:b/>
                <w:bCs/>
                <w:color w:val="000000"/>
                <w:sz w:val="21"/>
                <w:szCs w:val="21"/>
              </w:rPr>
              <w:t xml:space="preserve"> 4 </w:t>
            </w:r>
            <w:r w:rsidRPr="00602A0D">
              <w:rPr>
                <w:rFonts w:ascii="Times New Roman" w:hAnsi="Times New Roman" w:cs="Times New Roman"/>
                <w:b/>
                <w:bCs/>
                <w:color w:val="000000"/>
                <w:sz w:val="21"/>
                <w:szCs w:val="21"/>
              </w:rPr>
              <w:t>月</w:t>
            </w:r>
            <w:r w:rsidRPr="00602A0D">
              <w:rPr>
                <w:rFonts w:ascii="Times New Roman" w:hAnsi="Times New Roman" w:cs="Times New Roman"/>
                <w:b/>
                <w:bCs/>
                <w:color w:val="000000"/>
                <w:sz w:val="21"/>
                <w:szCs w:val="21"/>
              </w:rPr>
              <w:t xml:space="preserve"> 30 </w:t>
            </w:r>
            <w:r w:rsidRPr="00602A0D">
              <w:rPr>
                <w:rFonts w:ascii="Times New Roman" w:hAnsi="Times New Roman" w:cs="Times New Roman"/>
                <w:b/>
                <w:bCs/>
                <w:color w:val="000000"/>
                <w:sz w:val="21"/>
                <w:szCs w:val="21"/>
              </w:rPr>
              <w:t>日</w:t>
            </w:r>
          </w:p>
        </w:tc>
        <w:tc>
          <w:tcPr>
            <w:tcW w:w="2000" w:type="pct"/>
            <w:gridSpan w:val="2"/>
            <w:shd w:val="clear" w:color="auto" w:fill="auto"/>
            <w:vAlign w:val="center"/>
            <w:hideMark/>
          </w:tcPr>
          <w:p w14:paraId="157A2DDD"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2020</w:t>
            </w:r>
            <w:r w:rsidRPr="00602A0D">
              <w:rPr>
                <w:rFonts w:ascii="Times New Roman" w:hAnsi="Times New Roman" w:cs="Times New Roman"/>
                <w:b/>
                <w:bCs/>
                <w:color w:val="000000"/>
                <w:sz w:val="21"/>
                <w:szCs w:val="21"/>
              </w:rPr>
              <w:t>年度</w:t>
            </w:r>
            <w:r w:rsidRPr="00602A0D">
              <w:rPr>
                <w:rFonts w:ascii="Times New Roman" w:hAnsi="Times New Roman" w:cs="Times New Roman"/>
                <w:b/>
                <w:bCs/>
                <w:color w:val="000000"/>
                <w:sz w:val="21"/>
                <w:szCs w:val="21"/>
              </w:rPr>
              <w:t>/</w:t>
            </w:r>
          </w:p>
          <w:p w14:paraId="0B3E3A59"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2020</w:t>
            </w:r>
            <w:r w:rsidRPr="00602A0D">
              <w:rPr>
                <w:rFonts w:ascii="Times New Roman" w:hAnsi="Times New Roman" w:cs="Times New Roman"/>
                <w:b/>
                <w:bCs/>
                <w:color w:val="000000"/>
                <w:sz w:val="21"/>
                <w:szCs w:val="21"/>
              </w:rPr>
              <w:t>年</w:t>
            </w:r>
            <w:r w:rsidRPr="00602A0D">
              <w:rPr>
                <w:rFonts w:ascii="Times New Roman" w:hAnsi="Times New Roman" w:cs="Times New Roman"/>
                <w:b/>
                <w:bCs/>
                <w:color w:val="000000"/>
                <w:sz w:val="21"/>
                <w:szCs w:val="21"/>
              </w:rPr>
              <w:t xml:space="preserve"> 12 </w:t>
            </w:r>
            <w:r w:rsidRPr="00602A0D">
              <w:rPr>
                <w:rFonts w:ascii="Times New Roman" w:hAnsi="Times New Roman" w:cs="Times New Roman"/>
                <w:b/>
                <w:bCs/>
                <w:color w:val="000000"/>
                <w:sz w:val="21"/>
                <w:szCs w:val="21"/>
              </w:rPr>
              <w:t>月</w:t>
            </w:r>
            <w:r w:rsidRPr="00602A0D">
              <w:rPr>
                <w:rFonts w:ascii="Times New Roman" w:hAnsi="Times New Roman" w:cs="Times New Roman"/>
                <w:b/>
                <w:bCs/>
                <w:color w:val="000000"/>
                <w:sz w:val="21"/>
                <w:szCs w:val="21"/>
              </w:rPr>
              <w:t xml:space="preserve"> 31 </w:t>
            </w:r>
            <w:r w:rsidRPr="00602A0D">
              <w:rPr>
                <w:rFonts w:ascii="Times New Roman" w:hAnsi="Times New Roman" w:cs="Times New Roman"/>
                <w:b/>
                <w:bCs/>
                <w:color w:val="000000"/>
                <w:sz w:val="21"/>
                <w:szCs w:val="21"/>
              </w:rPr>
              <w:t>日</w:t>
            </w:r>
          </w:p>
        </w:tc>
      </w:tr>
      <w:tr w:rsidR="00AE5534" w:rsidRPr="00602A0D" w14:paraId="151933C8" w14:textId="77777777" w:rsidTr="00BB4E54">
        <w:trPr>
          <w:trHeight w:val="288"/>
        </w:trPr>
        <w:tc>
          <w:tcPr>
            <w:tcW w:w="1000" w:type="pct"/>
            <w:vMerge/>
            <w:vAlign w:val="center"/>
            <w:hideMark/>
          </w:tcPr>
          <w:p w14:paraId="5EE9203C" w14:textId="77777777" w:rsidR="00AE5534" w:rsidRPr="00602A0D" w:rsidRDefault="00AE5534" w:rsidP="00BB4E54">
            <w:pPr>
              <w:widowControl/>
              <w:autoSpaceDE/>
              <w:autoSpaceDN/>
              <w:jc w:val="center"/>
              <w:rPr>
                <w:rFonts w:ascii="Times New Roman" w:hAnsi="Times New Roman" w:cs="Times New Roman"/>
                <w:b/>
                <w:bCs/>
                <w:color w:val="000000"/>
                <w:sz w:val="21"/>
                <w:szCs w:val="21"/>
              </w:rPr>
            </w:pPr>
          </w:p>
        </w:tc>
        <w:tc>
          <w:tcPr>
            <w:tcW w:w="1000" w:type="pct"/>
            <w:shd w:val="clear" w:color="auto" w:fill="auto"/>
            <w:vAlign w:val="center"/>
            <w:hideMark/>
          </w:tcPr>
          <w:p w14:paraId="308693A9"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实际数</w:t>
            </w:r>
          </w:p>
        </w:tc>
        <w:tc>
          <w:tcPr>
            <w:tcW w:w="1000" w:type="pct"/>
            <w:shd w:val="clear" w:color="auto" w:fill="auto"/>
            <w:vAlign w:val="center"/>
            <w:hideMark/>
          </w:tcPr>
          <w:p w14:paraId="35DB8985"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备考数</w:t>
            </w:r>
          </w:p>
        </w:tc>
        <w:tc>
          <w:tcPr>
            <w:tcW w:w="1000" w:type="pct"/>
            <w:shd w:val="clear" w:color="auto" w:fill="auto"/>
            <w:vAlign w:val="center"/>
            <w:hideMark/>
          </w:tcPr>
          <w:p w14:paraId="423785F6"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实际数</w:t>
            </w:r>
          </w:p>
        </w:tc>
        <w:tc>
          <w:tcPr>
            <w:tcW w:w="1000" w:type="pct"/>
            <w:shd w:val="clear" w:color="auto" w:fill="auto"/>
            <w:vAlign w:val="center"/>
            <w:hideMark/>
          </w:tcPr>
          <w:p w14:paraId="671B159E" w14:textId="77777777" w:rsidR="00AE5534" w:rsidRPr="00602A0D" w:rsidRDefault="00AE5534" w:rsidP="00BB4E54">
            <w:pPr>
              <w:widowControl/>
              <w:autoSpaceDE/>
              <w:autoSpaceDN/>
              <w:ind w:firstLineChars="100" w:firstLine="211"/>
              <w:jc w:val="center"/>
              <w:rPr>
                <w:rFonts w:ascii="Times New Roman" w:hAnsi="Times New Roman" w:cs="Times New Roman"/>
                <w:b/>
                <w:bCs/>
                <w:color w:val="000000"/>
                <w:sz w:val="21"/>
                <w:szCs w:val="21"/>
              </w:rPr>
            </w:pPr>
            <w:r w:rsidRPr="00602A0D">
              <w:rPr>
                <w:rFonts w:ascii="Times New Roman" w:hAnsi="Times New Roman" w:cs="Times New Roman"/>
                <w:b/>
                <w:bCs/>
                <w:color w:val="000000"/>
                <w:sz w:val="21"/>
                <w:szCs w:val="21"/>
              </w:rPr>
              <w:t>备考数</w:t>
            </w:r>
          </w:p>
        </w:tc>
      </w:tr>
      <w:tr w:rsidR="00570C7C" w:rsidRPr="00602A0D" w14:paraId="6ACD393C" w14:textId="77777777" w:rsidTr="00602A0D">
        <w:trPr>
          <w:trHeight w:val="288"/>
        </w:trPr>
        <w:tc>
          <w:tcPr>
            <w:tcW w:w="1000" w:type="pct"/>
            <w:shd w:val="clear" w:color="auto" w:fill="auto"/>
            <w:vAlign w:val="center"/>
            <w:hideMark/>
          </w:tcPr>
          <w:p w14:paraId="02E429EB"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资产总额</w:t>
            </w:r>
          </w:p>
        </w:tc>
        <w:tc>
          <w:tcPr>
            <w:tcW w:w="1000" w:type="pct"/>
            <w:shd w:val="clear" w:color="auto" w:fill="auto"/>
            <w:vAlign w:val="center"/>
            <w:hideMark/>
          </w:tcPr>
          <w:p w14:paraId="0628E0EF" w14:textId="359FDD07"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298,000.05</w:t>
            </w:r>
          </w:p>
        </w:tc>
        <w:tc>
          <w:tcPr>
            <w:tcW w:w="1000" w:type="pct"/>
            <w:shd w:val="clear" w:color="auto" w:fill="auto"/>
            <w:vAlign w:val="center"/>
            <w:hideMark/>
          </w:tcPr>
          <w:p w14:paraId="6949EC05" w14:textId="50EF1588"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538,861.16</w:t>
            </w:r>
          </w:p>
        </w:tc>
        <w:tc>
          <w:tcPr>
            <w:tcW w:w="1000" w:type="pct"/>
            <w:shd w:val="clear" w:color="auto" w:fill="auto"/>
            <w:vAlign w:val="center"/>
            <w:hideMark/>
          </w:tcPr>
          <w:p w14:paraId="53F05951" w14:textId="7F19E0E3"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314,041.93</w:t>
            </w:r>
          </w:p>
        </w:tc>
        <w:tc>
          <w:tcPr>
            <w:tcW w:w="1000" w:type="pct"/>
            <w:shd w:val="clear" w:color="auto" w:fill="auto"/>
            <w:vAlign w:val="center"/>
            <w:hideMark/>
          </w:tcPr>
          <w:p w14:paraId="469F5D5B" w14:textId="1ED5668B"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548,152.06</w:t>
            </w:r>
          </w:p>
        </w:tc>
      </w:tr>
      <w:tr w:rsidR="00570C7C" w:rsidRPr="00602A0D" w14:paraId="4115CFFA" w14:textId="77777777" w:rsidTr="00602A0D">
        <w:trPr>
          <w:trHeight w:val="576"/>
        </w:trPr>
        <w:tc>
          <w:tcPr>
            <w:tcW w:w="1000" w:type="pct"/>
            <w:shd w:val="clear" w:color="auto" w:fill="auto"/>
            <w:vAlign w:val="center"/>
            <w:hideMark/>
          </w:tcPr>
          <w:p w14:paraId="5E199015"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归属母公司股东所有者权益</w:t>
            </w:r>
          </w:p>
        </w:tc>
        <w:tc>
          <w:tcPr>
            <w:tcW w:w="1000" w:type="pct"/>
            <w:shd w:val="clear" w:color="auto" w:fill="auto"/>
            <w:vAlign w:val="center"/>
            <w:hideMark/>
          </w:tcPr>
          <w:p w14:paraId="15B95504" w14:textId="7BCBA28E"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-140,970.51</w:t>
            </w:r>
          </w:p>
        </w:tc>
        <w:tc>
          <w:tcPr>
            <w:tcW w:w="1000" w:type="pct"/>
            <w:shd w:val="clear" w:color="auto" w:fill="auto"/>
            <w:vAlign w:val="center"/>
            <w:hideMark/>
          </w:tcPr>
          <w:p w14:paraId="01FF36B3" w14:textId="4E282D67"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29,482.47</w:t>
            </w:r>
          </w:p>
        </w:tc>
        <w:tc>
          <w:tcPr>
            <w:tcW w:w="1000" w:type="pct"/>
            <w:shd w:val="clear" w:color="auto" w:fill="auto"/>
            <w:vAlign w:val="center"/>
            <w:hideMark/>
          </w:tcPr>
          <w:p w14:paraId="36E22601" w14:textId="7662A028"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-131,187.30</w:t>
            </w:r>
          </w:p>
        </w:tc>
        <w:tc>
          <w:tcPr>
            <w:tcW w:w="1000" w:type="pct"/>
            <w:shd w:val="clear" w:color="auto" w:fill="auto"/>
            <w:vAlign w:val="center"/>
            <w:hideMark/>
          </w:tcPr>
          <w:p w14:paraId="1CD8B7F4" w14:textId="40A71345"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38,924.73</w:t>
            </w:r>
          </w:p>
        </w:tc>
      </w:tr>
      <w:tr w:rsidR="00570C7C" w:rsidRPr="00602A0D" w14:paraId="18AC5514" w14:textId="77777777" w:rsidTr="00602A0D">
        <w:trPr>
          <w:trHeight w:val="288"/>
        </w:trPr>
        <w:tc>
          <w:tcPr>
            <w:tcW w:w="1000" w:type="pct"/>
            <w:shd w:val="clear" w:color="auto" w:fill="auto"/>
            <w:vAlign w:val="center"/>
            <w:hideMark/>
          </w:tcPr>
          <w:p w14:paraId="7CD87678"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营业收入</w:t>
            </w:r>
          </w:p>
        </w:tc>
        <w:tc>
          <w:tcPr>
            <w:tcW w:w="1000" w:type="pct"/>
            <w:shd w:val="clear" w:color="auto" w:fill="auto"/>
            <w:vAlign w:val="center"/>
            <w:hideMark/>
          </w:tcPr>
          <w:p w14:paraId="1745D2D5" w14:textId="649B17E7"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13,624.42</w:t>
            </w:r>
          </w:p>
        </w:tc>
        <w:tc>
          <w:tcPr>
            <w:tcW w:w="1000" w:type="pct"/>
            <w:shd w:val="clear" w:color="auto" w:fill="auto"/>
            <w:vAlign w:val="center"/>
            <w:hideMark/>
          </w:tcPr>
          <w:p w14:paraId="6CB5E4F5" w14:textId="2CF0F0F4"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25,810.48</w:t>
            </w:r>
          </w:p>
        </w:tc>
        <w:tc>
          <w:tcPr>
            <w:tcW w:w="1000" w:type="pct"/>
            <w:shd w:val="clear" w:color="auto" w:fill="auto"/>
            <w:vAlign w:val="center"/>
            <w:hideMark/>
          </w:tcPr>
          <w:p w14:paraId="191D71F5" w14:textId="32589A08"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120,721.15</w:t>
            </w:r>
          </w:p>
        </w:tc>
        <w:tc>
          <w:tcPr>
            <w:tcW w:w="1000" w:type="pct"/>
            <w:shd w:val="clear" w:color="auto" w:fill="auto"/>
            <w:vAlign w:val="center"/>
            <w:hideMark/>
          </w:tcPr>
          <w:p w14:paraId="19A98DA9" w14:textId="0C19F323"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162,630.87</w:t>
            </w:r>
          </w:p>
        </w:tc>
      </w:tr>
      <w:tr w:rsidR="00570C7C" w:rsidRPr="00602A0D" w14:paraId="7B55E0BB" w14:textId="77777777" w:rsidTr="00602A0D">
        <w:trPr>
          <w:trHeight w:val="288"/>
        </w:trPr>
        <w:tc>
          <w:tcPr>
            <w:tcW w:w="1000" w:type="pct"/>
            <w:shd w:val="clear" w:color="auto" w:fill="auto"/>
            <w:vAlign w:val="center"/>
            <w:hideMark/>
          </w:tcPr>
          <w:p w14:paraId="26489B16"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利润总额</w:t>
            </w:r>
          </w:p>
        </w:tc>
        <w:tc>
          <w:tcPr>
            <w:tcW w:w="1000" w:type="pct"/>
            <w:shd w:val="clear" w:color="auto" w:fill="auto"/>
            <w:vAlign w:val="center"/>
            <w:hideMark/>
          </w:tcPr>
          <w:p w14:paraId="4A726505" w14:textId="5A912B1A"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-15,164.66</w:t>
            </w:r>
          </w:p>
        </w:tc>
        <w:tc>
          <w:tcPr>
            <w:tcW w:w="1000" w:type="pct"/>
            <w:shd w:val="clear" w:color="auto" w:fill="auto"/>
            <w:vAlign w:val="center"/>
            <w:hideMark/>
          </w:tcPr>
          <w:p w14:paraId="219A5C57" w14:textId="0E2F76CA"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-14,784.62</w:t>
            </w:r>
          </w:p>
        </w:tc>
        <w:tc>
          <w:tcPr>
            <w:tcW w:w="1000" w:type="pct"/>
            <w:shd w:val="clear" w:color="auto" w:fill="auto"/>
            <w:vAlign w:val="center"/>
            <w:hideMark/>
          </w:tcPr>
          <w:p w14:paraId="39D5422F" w14:textId="4DECDDE7"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-168,793.47</w:t>
            </w:r>
          </w:p>
        </w:tc>
        <w:tc>
          <w:tcPr>
            <w:tcW w:w="1000" w:type="pct"/>
            <w:shd w:val="clear" w:color="auto" w:fill="auto"/>
            <w:vAlign w:val="center"/>
            <w:hideMark/>
          </w:tcPr>
          <w:p w14:paraId="4558D0FA" w14:textId="1309BB71"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-164,212.51</w:t>
            </w:r>
          </w:p>
        </w:tc>
      </w:tr>
      <w:tr w:rsidR="00570C7C" w:rsidRPr="00602A0D" w14:paraId="3FD193ED" w14:textId="77777777" w:rsidTr="00602A0D">
        <w:trPr>
          <w:trHeight w:val="576"/>
        </w:trPr>
        <w:tc>
          <w:tcPr>
            <w:tcW w:w="1000" w:type="pct"/>
            <w:shd w:val="clear" w:color="auto" w:fill="auto"/>
            <w:vAlign w:val="center"/>
            <w:hideMark/>
          </w:tcPr>
          <w:p w14:paraId="289B64F0"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归属母公司股东所有者净利润</w:t>
            </w:r>
          </w:p>
        </w:tc>
        <w:tc>
          <w:tcPr>
            <w:tcW w:w="1000" w:type="pct"/>
            <w:shd w:val="clear" w:color="auto" w:fill="auto"/>
            <w:vAlign w:val="center"/>
            <w:hideMark/>
          </w:tcPr>
          <w:p w14:paraId="6C7C2087" w14:textId="77688D54"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-9,784.31</w:t>
            </w:r>
          </w:p>
        </w:tc>
        <w:tc>
          <w:tcPr>
            <w:tcW w:w="1000" w:type="pct"/>
            <w:shd w:val="clear" w:color="auto" w:fill="auto"/>
            <w:vAlign w:val="center"/>
            <w:hideMark/>
          </w:tcPr>
          <w:p w14:paraId="70F8D6F9" w14:textId="0102C0F6"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-9,443.36</w:t>
            </w:r>
          </w:p>
        </w:tc>
        <w:tc>
          <w:tcPr>
            <w:tcW w:w="1000" w:type="pct"/>
            <w:shd w:val="clear" w:color="auto" w:fill="auto"/>
            <w:vAlign w:val="center"/>
            <w:hideMark/>
          </w:tcPr>
          <w:p w14:paraId="155BF915" w14:textId="61B15124"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-136,381.11</w:t>
            </w:r>
          </w:p>
        </w:tc>
        <w:tc>
          <w:tcPr>
            <w:tcW w:w="1000" w:type="pct"/>
            <w:shd w:val="clear" w:color="auto" w:fill="auto"/>
            <w:vAlign w:val="center"/>
            <w:hideMark/>
          </w:tcPr>
          <w:p w14:paraId="046F6064" w14:textId="6A82BF9F"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-132,112.46</w:t>
            </w:r>
          </w:p>
        </w:tc>
      </w:tr>
      <w:tr w:rsidR="00570C7C" w:rsidRPr="00602A0D" w14:paraId="7B9CBBDB" w14:textId="77777777" w:rsidTr="00602A0D">
        <w:trPr>
          <w:trHeight w:val="576"/>
        </w:trPr>
        <w:tc>
          <w:tcPr>
            <w:tcW w:w="1000" w:type="pct"/>
            <w:shd w:val="clear" w:color="auto" w:fill="auto"/>
            <w:vAlign w:val="center"/>
            <w:hideMark/>
          </w:tcPr>
          <w:p w14:paraId="6624BC65" w14:textId="77777777" w:rsidR="00570C7C" w:rsidRPr="00602A0D" w:rsidRDefault="00570C7C" w:rsidP="00570C7C">
            <w:pPr>
              <w:widowControl/>
              <w:autoSpaceDE/>
              <w:autoSpaceDN/>
              <w:rPr>
                <w:rFonts w:ascii="Times New Roman" w:hAnsi="Times New Roman" w:cs="Times New Roman"/>
                <w:color w:val="000000"/>
                <w:sz w:val="21"/>
                <w:szCs w:val="21"/>
              </w:rPr>
            </w:pPr>
            <w:proofErr w:type="gramStart"/>
            <w:r w:rsidRPr="00602A0D">
              <w:rPr>
                <w:rFonts w:ascii="Times New Roman" w:hAnsi="Times New Roman" w:cs="Times New Roman"/>
                <w:color w:val="000000"/>
                <w:sz w:val="21"/>
                <w:szCs w:val="21"/>
              </w:rPr>
              <w:t>扣非后</w:t>
            </w:r>
            <w:proofErr w:type="gramEnd"/>
            <w:r w:rsidRPr="00602A0D">
              <w:rPr>
                <w:rFonts w:ascii="Times New Roman" w:hAnsi="Times New Roman" w:cs="Times New Roman"/>
                <w:color w:val="000000"/>
                <w:sz w:val="21"/>
                <w:szCs w:val="21"/>
              </w:rPr>
              <w:t>归属母公司股东所有者净利润</w:t>
            </w:r>
          </w:p>
        </w:tc>
        <w:tc>
          <w:tcPr>
            <w:tcW w:w="1000" w:type="pct"/>
            <w:shd w:val="clear" w:color="auto" w:fill="auto"/>
            <w:vAlign w:val="center"/>
            <w:hideMark/>
          </w:tcPr>
          <w:p w14:paraId="2A5C4B9B" w14:textId="34FE317F"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-11,083.58</w:t>
            </w:r>
          </w:p>
        </w:tc>
        <w:tc>
          <w:tcPr>
            <w:tcW w:w="1000" w:type="pct"/>
            <w:shd w:val="clear" w:color="auto" w:fill="auto"/>
            <w:vAlign w:val="center"/>
            <w:hideMark/>
          </w:tcPr>
          <w:p w14:paraId="31CD35C7" w14:textId="16BD9CD9"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-10,729.62</w:t>
            </w:r>
          </w:p>
        </w:tc>
        <w:tc>
          <w:tcPr>
            <w:tcW w:w="1000" w:type="pct"/>
            <w:shd w:val="clear" w:color="auto" w:fill="auto"/>
            <w:vAlign w:val="center"/>
            <w:hideMark/>
          </w:tcPr>
          <w:p w14:paraId="2894DD2D" w14:textId="10F2A8C6"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-140,462.32</w:t>
            </w:r>
          </w:p>
        </w:tc>
        <w:tc>
          <w:tcPr>
            <w:tcW w:w="1000" w:type="pct"/>
            <w:shd w:val="clear" w:color="auto" w:fill="auto"/>
            <w:vAlign w:val="center"/>
            <w:hideMark/>
          </w:tcPr>
          <w:p w14:paraId="71F5BE91" w14:textId="0336DDCB"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-136,354.04</w:t>
            </w:r>
          </w:p>
        </w:tc>
      </w:tr>
      <w:tr w:rsidR="00570C7C" w:rsidRPr="00602A0D" w14:paraId="6BF03B3C" w14:textId="77777777" w:rsidTr="00602A0D">
        <w:trPr>
          <w:trHeight w:val="288"/>
        </w:trPr>
        <w:tc>
          <w:tcPr>
            <w:tcW w:w="1000" w:type="pct"/>
            <w:shd w:val="clear" w:color="auto" w:fill="auto"/>
            <w:vAlign w:val="center"/>
            <w:hideMark/>
          </w:tcPr>
          <w:p w14:paraId="46DFB213"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基本每股收益（元</w:t>
            </w:r>
            <w:r w:rsidRPr="00602A0D">
              <w:rPr>
                <w:rFonts w:ascii="Times New Roman" w:hAnsi="Times New Roman" w:cs="Times New Roman"/>
                <w:color w:val="000000"/>
                <w:sz w:val="21"/>
                <w:szCs w:val="21"/>
              </w:rPr>
              <w:t>/</w:t>
            </w:r>
            <w:r w:rsidRPr="00602A0D">
              <w:rPr>
                <w:rFonts w:ascii="Times New Roman" w:hAnsi="Times New Roman" w:cs="Times New Roman"/>
                <w:color w:val="000000"/>
                <w:sz w:val="21"/>
                <w:szCs w:val="21"/>
              </w:rPr>
              <w:t>股）</w:t>
            </w:r>
          </w:p>
        </w:tc>
        <w:tc>
          <w:tcPr>
            <w:tcW w:w="1000" w:type="pct"/>
            <w:shd w:val="clear" w:color="auto" w:fill="auto"/>
            <w:vAlign w:val="center"/>
            <w:hideMark/>
          </w:tcPr>
          <w:p w14:paraId="0EBF63F0" w14:textId="4A7F256A"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-0.11</w:t>
            </w:r>
          </w:p>
        </w:tc>
        <w:tc>
          <w:tcPr>
            <w:tcW w:w="1000" w:type="pct"/>
            <w:shd w:val="clear" w:color="auto" w:fill="auto"/>
            <w:vAlign w:val="center"/>
            <w:hideMark/>
          </w:tcPr>
          <w:p w14:paraId="5F69AA47" w14:textId="322CA343"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-0.07</w:t>
            </w:r>
          </w:p>
        </w:tc>
        <w:tc>
          <w:tcPr>
            <w:tcW w:w="1000" w:type="pct"/>
            <w:shd w:val="clear" w:color="auto" w:fill="auto"/>
            <w:vAlign w:val="center"/>
            <w:hideMark/>
          </w:tcPr>
          <w:p w14:paraId="73B6598E" w14:textId="4A7DB4F9"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-1.55</w:t>
            </w:r>
          </w:p>
        </w:tc>
        <w:tc>
          <w:tcPr>
            <w:tcW w:w="1000" w:type="pct"/>
            <w:shd w:val="clear" w:color="auto" w:fill="auto"/>
            <w:vAlign w:val="center"/>
            <w:hideMark/>
          </w:tcPr>
          <w:p w14:paraId="35968EC7" w14:textId="082628A0"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-1.01</w:t>
            </w:r>
          </w:p>
        </w:tc>
      </w:tr>
      <w:tr w:rsidR="00570C7C" w:rsidRPr="00602A0D" w14:paraId="34C80E4C" w14:textId="77777777" w:rsidTr="00602A0D">
        <w:trPr>
          <w:trHeight w:val="576"/>
        </w:trPr>
        <w:tc>
          <w:tcPr>
            <w:tcW w:w="1000" w:type="pct"/>
            <w:shd w:val="clear" w:color="auto" w:fill="auto"/>
            <w:vAlign w:val="center"/>
            <w:hideMark/>
          </w:tcPr>
          <w:p w14:paraId="7A1D6FEB"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扣除非经常性损益后的基本每股收益（元</w:t>
            </w:r>
            <w:r w:rsidRPr="00602A0D">
              <w:rPr>
                <w:rFonts w:ascii="Times New Roman" w:hAnsi="Times New Roman" w:cs="Times New Roman"/>
                <w:color w:val="000000"/>
                <w:sz w:val="21"/>
                <w:szCs w:val="21"/>
              </w:rPr>
              <w:t>/</w:t>
            </w:r>
            <w:r w:rsidRPr="00602A0D">
              <w:rPr>
                <w:rFonts w:ascii="Times New Roman" w:hAnsi="Times New Roman" w:cs="Times New Roman"/>
                <w:color w:val="000000"/>
                <w:sz w:val="21"/>
                <w:szCs w:val="21"/>
              </w:rPr>
              <w:t>股）</w:t>
            </w:r>
            <w:r w:rsidRPr="00602A0D">
              <w:rPr>
                <w:rFonts w:ascii="Times New Roman" w:hAnsi="Times New Roman" w:cs="Times New Roman"/>
                <w:color w:val="000000"/>
                <w:sz w:val="21"/>
                <w:szCs w:val="21"/>
              </w:rPr>
              <w:t xml:space="preserve"> </w:t>
            </w:r>
          </w:p>
        </w:tc>
        <w:tc>
          <w:tcPr>
            <w:tcW w:w="1000" w:type="pct"/>
            <w:shd w:val="clear" w:color="auto" w:fill="auto"/>
            <w:vAlign w:val="center"/>
            <w:hideMark/>
          </w:tcPr>
          <w:p w14:paraId="565B85C7" w14:textId="53C7596D"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-0.13</w:t>
            </w:r>
          </w:p>
        </w:tc>
        <w:tc>
          <w:tcPr>
            <w:tcW w:w="1000" w:type="pct"/>
            <w:shd w:val="clear" w:color="auto" w:fill="auto"/>
            <w:vAlign w:val="center"/>
            <w:hideMark/>
          </w:tcPr>
          <w:p w14:paraId="1028036E" w14:textId="25198C4B"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-0.08</w:t>
            </w:r>
          </w:p>
        </w:tc>
        <w:tc>
          <w:tcPr>
            <w:tcW w:w="1000" w:type="pct"/>
            <w:shd w:val="clear" w:color="auto" w:fill="auto"/>
            <w:vAlign w:val="center"/>
            <w:hideMark/>
          </w:tcPr>
          <w:p w14:paraId="6A184828" w14:textId="73725507"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-1.59</w:t>
            </w:r>
          </w:p>
        </w:tc>
        <w:tc>
          <w:tcPr>
            <w:tcW w:w="1000" w:type="pct"/>
            <w:shd w:val="clear" w:color="auto" w:fill="auto"/>
            <w:vAlign w:val="center"/>
            <w:hideMark/>
          </w:tcPr>
          <w:p w14:paraId="40952563" w14:textId="7E82FF44"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-1.04</w:t>
            </w:r>
          </w:p>
        </w:tc>
      </w:tr>
      <w:tr w:rsidR="00570C7C" w:rsidRPr="00602A0D" w14:paraId="669ED69E" w14:textId="77777777" w:rsidTr="00602A0D">
        <w:trPr>
          <w:trHeight w:val="288"/>
        </w:trPr>
        <w:tc>
          <w:tcPr>
            <w:tcW w:w="1000" w:type="pct"/>
            <w:shd w:val="clear" w:color="auto" w:fill="auto"/>
            <w:vAlign w:val="center"/>
            <w:hideMark/>
          </w:tcPr>
          <w:p w14:paraId="79D95073"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稀释每股收益（元</w:t>
            </w:r>
            <w:r w:rsidRPr="00602A0D">
              <w:rPr>
                <w:rFonts w:ascii="Times New Roman" w:hAnsi="Times New Roman" w:cs="Times New Roman"/>
                <w:color w:val="000000"/>
                <w:sz w:val="21"/>
                <w:szCs w:val="21"/>
              </w:rPr>
              <w:t>/</w:t>
            </w:r>
            <w:r w:rsidRPr="00602A0D">
              <w:rPr>
                <w:rFonts w:ascii="Times New Roman" w:hAnsi="Times New Roman" w:cs="Times New Roman"/>
                <w:color w:val="000000"/>
                <w:sz w:val="21"/>
                <w:szCs w:val="21"/>
              </w:rPr>
              <w:t>股）</w:t>
            </w:r>
          </w:p>
        </w:tc>
        <w:tc>
          <w:tcPr>
            <w:tcW w:w="1000" w:type="pct"/>
            <w:shd w:val="clear" w:color="auto" w:fill="auto"/>
            <w:vAlign w:val="center"/>
            <w:hideMark/>
          </w:tcPr>
          <w:p w14:paraId="20F039A0" w14:textId="30B0D368"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-0.11</w:t>
            </w:r>
          </w:p>
        </w:tc>
        <w:tc>
          <w:tcPr>
            <w:tcW w:w="1000" w:type="pct"/>
            <w:shd w:val="clear" w:color="auto" w:fill="auto"/>
            <w:vAlign w:val="center"/>
            <w:hideMark/>
          </w:tcPr>
          <w:p w14:paraId="3ADF6DB1" w14:textId="5C82091F"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-0.07</w:t>
            </w:r>
          </w:p>
        </w:tc>
        <w:tc>
          <w:tcPr>
            <w:tcW w:w="1000" w:type="pct"/>
            <w:shd w:val="clear" w:color="auto" w:fill="auto"/>
            <w:vAlign w:val="center"/>
            <w:hideMark/>
          </w:tcPr>
          <w:p w14:paraId="287FEC7B" w14:textId="6611C7F0"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-1.55</w:t>
            </w:r>
          </w:p>
        </w:tc>
        <w:tc>
          <w:tcPr>
            <w:tcW w:w="1000" w:type="pct"/>
            <w:shd w:val="clear" w:color="auto" w:fill="auto"/>
            <w:vAlign w:val="center"/>
            <w:hideMark/>
          </w:tcPr>
          <w:p w14:paraId="4E9FE19B" w14:textId="7C1C9742"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-1.01</w:t>
            </w:r>
          </w:p>
        </w:tc>
      </w:tr>
      <w:tr w:rsidR="00570C7C" w:rsidRPr="00602A0D" w14:paraId="4B85C0B6" w14:textId="77777777" w:rsidTr="00602A0D">
        <w:trPr>
          <w:trHeight w:val="576"/>
        </w:trPr>
        <w:tc>
          <w:tcPr>
            <w:tcW w:w="1000" w:type="pct"/>
            <w:shd w:val="clear" w:color="auto" w:fill="auto"/>
            <w:vAlign w:val="center"/>
            <w:hideMark/>
          </w:tcPr>
          <w:p w14:paraId="769C4708" w14:textId="77777777" w:rsidR="00570C7C" w:rsidRPr="00602A0D" w:rsidRDefault="00570C7C" w:rsidP="00570C7C">
            <w:pPr>
              <w:widowControl/>
              <w:autoSpaceDE/>
              <w:autoSpaceDN/>
              <w:rPr>
                <w:rFonts w:ascii="Times New Roman" w:hAnsi="Times New Roman" w:cs="Times New Roman"/>
                <w:color w:val="000000"/>
                <w:sz w:val="21"/>
                <w:szCs w:val="21"/>
              </w:rPr>
            </w:pPr>
            <w:r w:rsidRPr="00602A0D">
              <w:rPr>
                <w:rFonts w:ascii="Times New Roman" w:hAnsi="Times New Roman" w:cs="Times New Roman"/>
                <w:color w:val="000000"/>
                <w:sz w:val="21"/>
                <w:szCs w:val="21"/>
              </w:rPr>
              <w:t>扣除非经常性损益后的稀释每股收益（元</w:t>
            </w:r>
            <w:r w:rsidRPr="00602A0D">
              <w:rPr>
                <w:rFonts w:ascii="Times New Roman" w:hAnsi="Times New Roman" w:cs="Times New Roman"/>
                <w:color w:val="000000"/>
                <w:sz w:val="21"/>
                <w:szCs w:val="21"/>
              </w:rPr>
              <w:t>/</w:t>
            </w:r>
            <w:r w:rsidRPr="00602A0D">
              <w:rPr>
                <w:rFonts w:ascii="Times New Roman" w:hAnsi="Times New Roman" w:cs="Times New Roman"/>
                <w:color w:val="000000"/>
                <w:sz w:val="21"/>
                <w:szCs w:val="21"/>
              </w:rPr>
              <w:t>股）</w:t>
            </w:r>
            <w:r w:rsidRPr="00602A0D">
              <w:rPr>
                <w:rFonts w:ascii="Times New Roman" w:hAnsi="Times New Roman" w:cs="Times New Roman"/>
                <w:color w:val="000000"/>
                <w:sz w:val="21"/>
                <w:szCs w:val="21"/>
              </w:rPr>
              <w:t xml:space="preserve"> </w:t>
            </w:r>
          </w:p>
        </w:tc>
        <w:tc>
          <w:tcPr>
            <w:tcW w:w="1000" w:type="pct"/>
            <w:shd w:val="clear" w:color="auto" w:fill="auto"/>
            <w:vAlign w:val="center"/>
            <w:hideMark/>
          </w:tcPr>
          <w:p w14:paraId="645E03BA" w14:textId="0D3BAFB5"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-0.13</w:t>
            </w:r>
          </w:p>
        </w:tc>
        <w:tc>
          <w:tcPr>
            <w:tcW w:w="1000" w:type="pct"/>
            <w:shd w:val="clear" w:color="auto" w:fill="auto"/>
            <w:vAlign w:val="center"/>
            <w:hideMark/>
          </w:tcPr>
          <w:p w14:paraId="05C1E04C" w14:textId="64E94E62"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-0.07</w:t>
            </w:r>
          </w:p>
        </w:tc>
        <w:tc>
          <w:tcPr>
            <w:tcW w:w="1000" w:type="pct"/>
            <w:shd w:val="clear" w:color="auto" w:fill="auto"/>
            <w:vAlign w:val="center"/>
            <w:hideMark/>
          </w:tcPr>
          <w:p w14:paraId="79C68265" w14:textId="3815EE41"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-1.59</w:t>
            </w:r>
          </w:p>
        </w:tc>
        <w:tc>
          <w:tcPr>
            <w:tcW w:w="1000" w:type="pct"/>
            <w:shd w:val="clear" w:color="auto" w:fill="auto"/>
            <w:vAlign w:val="center"/>
            <w:hideMark/>
          </w:tcPr>
          <w:p w14:paraId="4F856523" w14:textId="1990E278" w:rsidR="00570C7C" w:rsidRPr="00602A0D" w:rsidRDefault="00570C7C" w:rsidP="00602A0D">
            <w:pPr>
              <w:widowControl/>
              <w:autoSpaceDE/>
              <w:autoSpaceDN/>
              <w:jc w:val="right"/>
              <w:rPr>
                <w:rFonts w:ascii="Times New Roman" w:hAnsi="Times New Roman" w:cs="Times New Roman"/>
                <w:color w:val="000000"/>
                <w:sz w:val="21"/>
                <w:szCs w:val="21"/>
              </w:rPr>
            </w:pPr>
            <w:r w:rsidRPr="00602A0D">
              <w:rPr>
                <w:rFonts w:ascii="Times New Roman" w:hAnsi="Times New Roman" w:cs="Times New Roman"/>
                <w:color w:val="000000"/>
                <w:sz w:val="21"/>
                <w:szCs w:val="21"/>
              </w:rPr>
              <w:t>-1.04</w:t>
            </w:r>
          </w:p>
        </w:tc>
      </w:tr>
    </w:tbl>
    <w:p w14:paraId="5D946A81" w14:textId="77777777" w:rsidR="004A27C2" w:rsidRPr="00790466" w:rsidRDefault="004A27C2" w:rsidP="00EF3B24">
      <w:pPr>
        <w:spacing w:beforeLines="50" w:before="156" w:line="360" w:lineRule="auto"/>
        <w:ind w:firstLineChars="200" w:firstLine="480"/>
        <w:jc w:val="both"/>
        <w:rPr>
          <w:rFonts w:ascii="Times New Roman" w:cs="Times New Roman"/>
          <w:sz w:val="24"/>
          <w:szCs w:val="24"/>
        </w:rPr>
      </w:pPr>
      <w:r w:rsidRPr="00790466">
        <w:rPr>
          <w:rFonts w:ascii="Times New Roman" w:cs="Times New Roman"/>
          <w:sz w:val="24"/>
          <w:szCs w:val="24"/>
        </w:rPr>
        <w:t>根据上表，本次交易后上市公司每股收益将</w:t>
      </w:r>
      <w:proofErr w:type="gramStart"/>
      <w:r w:rsidRPr="00790466">
        <w:rPr>
          <w:rFonts w:ascii="Times New Roman" w:cs="Times New Roman"/>
          <w:sz w:val="24"/>
          <w:szCs w:val="24"/>
        </w:rPr>
        <w:t>较交易</w:t>
      </w:r>
      <w:proofErr w:type="gramEnd"/>
      <w:r w:rsidRPr="00790466">
        <w:rPr>
          <w:rFonts w:ascii="Times New Roman" w:cs="Times New Roman"/>
          <w:sz w:val="24"/>
          <w:szCs w:val="24"/>
        </w:rPr>
        <w:t>前有所升高。本次重大资产重组提升了上市公司的盈利能力，上市公司将注入盈利能力更强、增长前景较好的业务，上市公司股东利益将得到充分保障。</w:t>
      </w:r>
    </w:p>
    <w:p w14:paraId="21C6BA72" w14:textId="77777777" w:rsidR="004A27C2" w:rsidRPr="000A7FF4" w:rsidRDefault="004A27C2" w:rsidP="00EF3B24">
      <w:pPr>
        <w:spacing w:beforeLines="50" w:before="156" w:line="360" w:lineRule="auto"/>
        <w:ind w:firstLineChars="200" w:firstLine="482"/>
        <w:jc w:val="both"/>
        <w:rPr>
          <w:rFonts w:ascii="Times New Roman" w:cs="Times New Roman"/>
          <w:b/>
          <w:bCs/>
          <w:sz w:val="24"/>
          <w:szCs w:val="24"/>
        </w:rPr>
      </w:pPr>
      <w:r w:rsidRPr="000A7FF4">
        <w:rPr>
          <w:rFonts w:ascii="Times New Roman" w:cs="Times New Roman"/>
          <w:b/>
          <w:bCs/>
          <w:sz w:val="24"/>
          <w:szCs w:val="24"/>
        </w:rPr>
        <w:t>三、本次重组摊薄即期回报的风险提示</w:t>
      </w:r>
    </w:p>
    <w:p w14:paraId="5FEB6A40" w14:textId="77777777" w:rsidR="004A27C2" w:rsidRPr="00790466" w:rsidRDefault="004A27C2" w:rsidP="00EF3B24">
      <w:pPr>
        <w:spacing w:beforeLines="50" w:before="156" w:line="360" w:lineRule="auto"/>
        <w:ind w:firstLineChars="200" w:firstLine="480"/>
        <w:jc w:val="both"/>
        <w:rPr>
          <w:rFonts w:ascii="Times New Roman" w:cs="Times New Roman"/>
          <w:sz w:val="24"/>
          <w:szCs w:val="24"/>
        </w:rPr>
      </w:pPr>
      <w:r w:rsidRPr="00790466">
        <w:rPr>
          <w:rFonts w:ascii="Times New Roman" w:cs="Times New Roman"/>
          <w:sz w:val="24"/>
          <w:szCs w:val="24"/>
        </w:rPr>
        <w:t>本次交易完成后，公司总股本</w:t>
      </w:r>
      <w:proofErr w:type="gramStart"/>
      <w:r w:rsidRPr="00790466">
        <w:rPr>
          <w:rFonts w:ascii="Times New Roman" w:cs="Times New Roman"/>
          <w:sz w:val="24"/>
          <w:szCs w:val="24"/>
        </w:rPr>
        <w:t>较发行</w:t>
      </w:r>
      <w:proofErr w:type="gramEnd"/>
      <w:r w:rsidRPr="00790466">
        <w:rPr>
          <w:rFonts w:ascii="Times New Roman" w:cs="Times New Roman"/>
          <w:sz w:val="24"/>
          <w:szCs w:val="24"/>
        </w:rPr>
        <w:t>前将出现一定增长。本次重组的拟置入</w:t>
      </w:r>
      <w:r w:rsidRPr="00790466">
        <w:rPr>
          <w:rFonts w:ascii="Times New Roman" w:cs="Times New Roman"/>
          <w:sz w:val="24"/>
          <w:szCs w:val="24"/>
        </w:rPr>
        <w:lastRenderedPageBreak/>
        <w:t>资产预期将有助于提高公司每股收益。但是，如果通过本次交易收购的拟置入资产无法保持发展势头，或因宏观经济环境、行业技术发展、类似新冠疫情等不可控因素影响出现利润下滑的情形，</w:t>
      </w:r>
      <w:proofErr w:type="gramStart"/>
      <w:r w:rsidRPr="00790466">
        <w:rPr>
          <w:rFonts w:ascii="Times New Roman" w:cs="Times New Roman"/>
          <w:sz w:val="24"/>
          <w:szCs w:val="24"/>
        </w:rPr>
        <w:t>则上市</w:t>
      </w:r>
      <w:proofErr w:type="gramEnd"/>
      <w:r w:rsidRPr="00790466">
        <w:rPr>
          <w:rFonts w:ascii="Times New Roman" w:cs="Times New Roman"/>
          <w:sz w:val="24"/>
          <w:szCs w:val="24"/>
        </w:rPr>
        <w:t>公司的每股收益等即期回报指标将面临被摊薄的风险。</w:t>
      </w:r>
    </w:p>
    <w:p w14:paraId="6557F3FC" w14:textId="77777777" w:rsidR="004A27C2" w:rsidRPr="000A7FF4" w:rsidRDefault="004A27C2" w:rsidP="00EF3B24">
      <w:pPr>
        <w:spacing w:beforeLines="50" w:before="156" w:line="360" w:lineRule="auto"/>
        <w:ind w:firstLineChars="200" w:firstLine="482"/>
        <w:jc w:val="both"/>
        <w:rPr>
          <w:rFonts w:ascii="Times New Roman" w:cs="Times New Roman"/>
          <w:b/>
          <w:bCs/>
          <w:sz w:val="24"/>
          <w:szCs w:val="24"/>
        </w:rPr>
      </w:pPr>
      <w:r w:rsidRPr="000A7FF4">
        <w:rPr>
          <w:rFonts w:ascii="Times New Roman" w:cs="Times New Roman"/>
          <w:b/>
          <w:bCs/>
          <w:sz w:val="24"/>
          <w:szCs w:val="24"/>
        </w:rPr>
        <w:t>四、上市公司对防范本次重组摊薄即期回报及提高未来回报能力采取的措施</w:t>
      </w:r>
    </w:p>
    <w:p w14:paraId="7A380979" w14:textId="77777777" w:rsidR="004A27C2" w:rsidRPr="00575B73" w:rsidRDefault="004A27C2" w:rsidP="00EF3B24">
      <w:pPr>
        <w:spacing w:beforeLines="50" w:before="156" w:line="360" w:lineRule="auto"/>
        <w:ind w:firstLineChars="200" w:firstLine="480"/>
        <w:jc w:val="both"/>
        <w:rPr>
          <w:rFonts w:ascii="Times New Roman" w:cs="Times New Roman"/>
          <w:sz w:val="24"/>
          <w:szCs w:val="24"/>
        </w:rPr>
      </w:pPr>
      <w:r w:rsidRPr="00575B73">
        <w:rPr>
          <w:rFonts w:ascii="Times New Roman" w:cs="Times New Roman"/>
          <w:sz w:val="24"/>
          <w:szCs w:val="24"/>
        </w:rPr>
        <w:t>根据测算结果，本次重组完成当年预计不会出现即期回报被摊薄的情况，但并不能完全排除其未来盈利能力不及预期的可能。为维护公司和全体股东的合法权益，公司若出现即期回报被摊薄的情况，公司拟采取以下填补措施，增强公司持续盈利能力</w:t>
      </w:r>
      <w:r>
        <w:rPr>
          <w:rFonts w:ascii="Times New Roman" w:cs="Times New Roman" w:hint="eastAsia"/>
          <w:sz w:val="24"/>
          <w:szCs w:val="24"/>
        </w:rPr>
        <w:t>，公司承诺</w:t>
      </w:r>
      <w:r w:rsidRPr="00575B73">
        <w:rPr>
          <w:rFonts w:ascii="Times New Roman" w:cs="Times New Roman"/>
          <w:sz w:val="24"/>
          <w:szCs w:val="24"/>
        </w:rPr>
        <w:t>：</w:t>
      </w:r>
    </w:p>
    <w:p w14:paraId="52D05B9F"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1</w:t>
      </w:r>
      <w:r w:rsidRPr="004A27C2">
        <w:rPr>
          <w:rFonts w:ascii="Times New Roman" w:cs="Times New Roman"/>
          <w:sz w:val="24"/>
          <w:szCs w:val="24"/>
        </w:rPr>
        <w:t>、加快与目标公司的整合，增强综合竞争优势和持续盈利能力</w:t>
      </w:r>
    </w:p>
    <w:p w14:paraId="1E57B58F" w14:textId="2D0F2F1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本次交易完成后，上市公司将加快对目标公司的整合，充分发挥上市公司与目标公司之间的协同效应，共同增强综合竞争优势，从而提升上市公司及全体股东的长远利益，提高上市公司的可持续发展能力及盈利能力。</w:t>
      </w:r>
    </w:p>
    <w:p w14:paraId="25DCFDC7"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2</w:t>
      </w:r>
      <w:r w:rsidRPr="004A27C2">
        <w:rPr>
          <w:rFonts w:ascii="Times New Roman" w:cs="Times New Roman"/>
          <w:sz w:val="24"/>
          <w:szCs w:val="24"/>
        </w:rPr>
        <w:t>、切实履行《业绩承诺与补偿协议》的相关约定</w:t>
      </w:r>
    </w:p>
    <w:p w14:paraId="2A007211"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为充分维护上市公司及中小股东的利益，上市公司与业绩承诺方签订了</w:t>
      </w:r>
      <w:r w:rsidRPr="004A27C2">
        <w:rPr>
          <w:rFonts w:ascii="Times New Roman" w:cs="Times New Roman"/>
          <w:sz w:val="24"/>
          <w:szCs w:val="24"/>
        </w:rPr>
        <w:t>《业绩承诺与补偿协议》</w:t>
      </w:r>
      <w:r w:rsidRPr="004A27C2">
        <w:rPr>
          <w:rFonts w:ascii="Times New Roman" w:cs="Times New Roman" w:hint="eastAsia"/>
          <w:sz w:val="24"/>
          <w:szCs w:val="24"/>
        </w:rPr>
        <w:t>。</w:t>
      </w:r>
      <w:r w:rsidRPr="004A27C2">
        <w:rPr>
          <w:rFonts w:ascii="Times New Roman" w:cs="Times New Roman"/>
          <w:sz w:val="24"/>
          <w:szCs w:val="24"/>
        </w:rPr>
        <w:t>当目标公司出现业绩承诺期内实现净利润低于承诺净利润的情形，上市公司将严格按照《业绩承诺与补偿协议》的相关约定，督促业绩承诺方严格遵照《业绩承诺与补偿协议》履行补偿义务，对上市公司进行补偿，切实维护上市公司广大投资者的利益。</w:t>
      </w:r>
    </w:p>
    <w:p w14:paraId="6E24C78C"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3</w:t>
      </w:r>
      <w:r w:rsidRPr="004A27C2">
        <w:rPr>
          <w:rFonts w:ascii="Times New Roman" w:cs="Times New Roman" w:hint="eastAsia"/>
          <w:sz w:val="24"/>
          <w:szCs w:val="24"/>
        </w:rPr>
        <w:t>、继续完善公司治理，提高公司运营效率</w:t>
      </w:r>
    </w:p>
    <w:p w14:paraId="140829BE" w14:textId="783B5CCA"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本次交易前，上市公司已经根据《公司法》《上市公司治理准则》《企业内部控制基本规范》等法律法规，建立了较为完善、健全的公司法人治理结构和内部控制制度管理体系，初步形成了设置合理、运行有效、权责分明、运作良好的公司治理与经营框架，保证了上市公司各项经营活动的正常有序进行。本次交易完成后，上市公司将进一步完善治理结构，进一步提高经营和管理水平，完善并强化投资决策、内部控制程序，加强成本管控，强化执行监督，全面有效地提高</w:t>
      </w:r>
      <w:r w:rsidRPr="004A27C2">
        <w:rPr>
          <w:rFonts w:ascii="Times New Roman" w:cs="Times New Roman" w:hint="eastAsia"/>
          <w:sz w:val="24"/>
          <w:szCs w:val="24"/>
        </w:rPr>
        <w:lastRenderedPageBreak/>
        <w:t>上市公司运营效率。</w:t>
      </w:r>
    </w:p>
    <w:p w14:paraId="18361672"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4</w:t>
      </w:r>
      <w:r w:rsidRPr="004A27C2">
        <w:rPr>
          <w:rFonts w:ascii="Times New Roman" w:cs="Times New Roman"/>
          <w:sz w:val="24"/>
          <w:szCs w:val="24"/>
        </w:rPr>
        <w:t>、</w:t>
      </w:r>
      <w:r w:rsidRPr="004A27C2">
        <w:rPr>
          <w:rFonts w:ascii="Times New Roman" w:cs="Times New Roman" w:hint="eastAsia"/>
          <w:sz w:val="24"/>
          <w:szCs w:val="24"/>
        </w:rPr>
        <w:t>严格遵守并不断完善上市公司利润分配政策，强化投资者分红回报</w:t>
      </w:r>
    </w:p>
    <w:p w14:paraId="6E07E4A2"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实行积极的利润分配政策。本次交易完成后，上市公司将根据中国证监会《关于进一步落实上市公司现金分红有关事项的通知》及《上市公司监管指引第</w:t>
      </w:r>
      <w:r w:rsidRPr="004A27C2">
        <w:rPr>
          <w:rFonts w:ascii="Times New Roman" w:cs="Times New Roman"/>
          <w:sz w:val="24"/>
          <w:szCs w:val="24"/>
        </w:rPr>
        <w:t>3</w:t>
      </w:r>
      <w:r w:rsidRPr="004A27C2">
        <w:rPr>
          <w:rFonts w:ascii="Times New Roman" w:cs="Times New Roman"/>
          <w:sz w:val="24"/>
          <w:szCs w:val="24"/>
        </w:rPr>
        <w:t>号——上市公司现金分红》等规定，</w:t>
      </w:r>
      <w:r w:rsidRPr="004A27C2">
        <w:rPr>
          <w:rFonts w:ascii="Times New Roman" w:cs="Times New Roman" w:hint="eastAsia"/>
          <w:sz w:val="24"/>
          <w:szCs w:val="24"/>
        </w:rPr>
        <w:t>严格执行现行分红政策，在符合条件的情况下积极推动对广大股东的利润分配以及现金分红，提升股东回报水平。</w:t>
      </w:r>
    </w:p>
    <w:p w14:paraId="3FDB1728"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5</w:t>
      </w:r>
      <w:r w:rsidRPr="004A27C2">
        <w:rPr>
          <w:rFonts w:ascii="Times New Roman" w:cs="Times New Roman"/>
          <w:sz w:val="24"/>
          <w:szCs w:val="24"/>
        </w:rPr>
        <w:t>、</w:t>
      </w:r>
      <w:r w:rsidRPr="004A27C2">
        <w:rPr>
          <w:rFonts w:ascii="Times New Roman" w:cs="Times New Roman" w:hint="eastAsia"/>
          <w:sz w:val="24"/>
          <w:szCs w:val="24"/>
        </w:rPr>
        <w:t>加强募集资金的管理和运用</w:t>
      </w:r>
    </w:p>
    <w:p w14:paraId="5314408F" w14:textId="4202ABDD" w:rsidR="004A27C2" w:rsidRPr="00AC4FBD" w:rsidRDefault="004A27C2" w:rsidP="00EF3B24">
      <w:pPr>
        <w:spacing w:beforeLines="50" w:before="156" w:line="360" w:lineRule="auto"/>
        <w:ind w:firstLineChars="200" w:firstLine="480"/>
        <w:jc w:val="both"/>
        <w:rPr>
          <w:rFonts w:asciiTheme="minorEastAsia" w:eastAsiaTheme="minorEastAsia" w:hAnsiTheme="minorEastAsia" w:cs="Times New Roman"/>
          <w:sz w:val="24"/>
          <w:szCs w:val="24"/>
        </w:rPr>
      </w:pPr>
      <w:r w:rsidRPr="004A27C2">
        <w:rPr>
          <w:rFonts w:ascii="Times New Roman" w:cs="Times New Roman"/>
          <w:sz w:val="24"/>
          <w:szCs w:val="24"/>
        </w:rPr>
        <w:t>本次募集配套资金到位后，上市公司将严格按照《上市公司监管指引</w:t>
      </w:r>
      <w:r w:rsidRPr="004A27C2">
        <w:rPr>
          <w:rFonts w:ascii="Times New Roman" w:cs="Times New Roman"/>
          <w:sz w:val="24"/>
          <w:szCs w:val="24"/>
        </w:rPr>
        <w:t>2</w:t>
      </w:r>
      <w:r w:rsidRPr="004A27C2">
        <w:rPr>
          <w:rFonts w:ascii="Times New Roman" w:cs="Times New Roman"/>
          <w:sz w:val="24"/>
          <w:szCs w:val="24"/>
        </w:rPr>
        <w:t>号—上市公司募集资金管理和使用的监管要求》《上海证券交易所股票上市规则》以及大唐电信《募集资金使用管理办法》等规定，加强募集资金使用的管理。上市公司董事会将持续监督对募集资金的专户存储，保障募集资金按顺序用于规定的用途，配合</w:t>
      </w:r>
      <w:r w:rsidR="00EE7584" w:rsidRPr="00EE7584">
        <w:rPr>
          <w:rFonts w:ascii="Times New Roman" w:cs="Times New Roman" w:hint="eastAsia"/>
          <w:sz w:val="24"/>
          <w:szCs w:val="24"/>
        </w:rPr>
        <w:t>独立财务顾问等相关机构</w:t>
      </w:r>
      <w:r w:rsidRPr="004A27C2">
        <w:rPr>
          <w:rFonts w:ascii="Times New Roman" w:cs="Times New Roman"/>
          <w:sz w:val="24"/>
          <w:szCs w:val="24"/>
        </w:rPr>
        <w:t>对募集资金使用的检查和监督，以保证募集资金合理规范使用，防范募集资金使用风险，以保证募集资金投资项目的顺利推进，早日实现预期收益。</w:t>
      </w:r>
    </w:p>
    <w:p w14:paraId="4AFD7E6C" w14:textId="77777777" w:rsidR="004A27C2" w:rsidRPr="000A7FF4" w:rsidRDefault="004A27C2" w:rsidP="00EF3B24">
      <w:pPr>
        <w:spacing w:beforeLines="50" w:before="156" w:line="360" w:lineRule="auto"/>
        <w:ind w:firstLineChars="200" w:firstLine="482"/>
        <w:jc w:val="both"/>
        <w:rPr>
          <w:rFonts w:ascii="Times New Roman" w:cs="Times New Roman"/>
          <w:b/>
          <w:bCs/>
          <w:sz w:val="24"/>
          <w:szCs w:val="24"/>
        </w:rPr>
      </w:pPr>
      <w:r w:rsidRPr="000A7FF4">
        <w:rPr>
          <w:rFonts w:ascii="Times New Roman" w:cs="Times New Roman"/>
          <w:b/>
          <w:bCs/>
          <w:sz w:val="24"/>
          <w:szCs w:val="24"/>
        </w:rPr>
        <w:t>五、上市公司控股股东、实际控制人关于切实履行填补回报措施的承诺</w:t>
      </w:r>
    </w:p>
    <w:p w14:paraId="79E7D238" w14:textId="77777777" w:rsidR="004A27C2" w:rsidRDefault="004A27C2" w:rsidP="00EF3B24">
      <w:pPr>
        <w:spacing w:beforeLines="50" w:before="156" w:line="360" w:lineRule="auto"/>
        <w:ind w:firstLineChars="200" w:firstLine="480"/>
        <w:jc w:val="both"/>
        <w:rPr>
          <w:rFonts w:ascii="Times New Roman" w:cs="Times New Roman"/>
          <w:sz w:val="24"/>
          <w:szCs w:val="24"/>
        </w:rPr>
      </w:pPr>
      <w:r>
        <w:rPr>
          <w:rFonts w:ascii="Times New Roman" w:cs="Times New Roman"/>
          <w:sz w:val="24"/>
          <w:szCs w:val="24"/>
        </w:rPr>
        <w:t>上市公司控股股东为</w:t>
      </w:r>
      <w:r w:rsidRPr="000E75DB">
        <w:rPr>
          <w:rFonts w:ascii="Times New Roman" w:cs="Times New Roman" w:hint="eastAsia"/>
          <w:sz w:val="24"/>
          <w:szCs w:val="24"/>
        </w:rPr>
        <w:t>电信科学技术研究院有限公司</w:t>
      </w:r>
      <w:r w:rsidRPr="00575B73">
        <w:rPr>
          <w:rFonts w:ascii="Times New Roman" w:cs="Times New Roman"/>
          <w:sz w:val="24"/>
          <w:szCs w:val="24"/>
        </w:rPr>
        <w:t>。为保障公司填补被摊薄即期回报措</w:t>
      </w:r>
      <w:r>
        <w:rPr>
          <w:rFonts w:ascii="Times New Roman" w:cs="Times New Roman"/>
          <w:sz w:val="24"/>
          <w:szCs w:val="24"/>
        </w:rPr>
        <w:t>施能够得到切实履行，维护中小投资者利益，</w:t>
      </w:r>
      <w:r w:rsidRPr="000E75DB">
        <w:rPr>
          <w:rFonts w:ascii="Times New Roman" w:cs="Times New Roman" w:hint="eastAsia"/>
          <w:sz w:val="24"/>
          <w:szCs w:val="24"/>
        </w:rPr>
        <w:t>电信科学技术研究院有限公司</w:t>
      </w:r>
      <w:r w:rsidRPr="00575B73">
        <w:rPr>
          <w:rFonts w:ascii="Times New Roman" w:cs="Times New Roman"/>
          <w:sz w:val="24"/>
          <w:szCs w:val="24"/>
        </w:rPr>
        <w:t>及</w:t>
      </w:r>
      <w:r>
        <w:rPr>
          <w:rFonts w:ascii="Times New Roman" w:cs="Times New Roman"/>
          <w:sz w:val="24"/>
          <w:szCs w:val="24"/>
        </w:rPr>
        <w:t>其控股股东</w:t>
      </w:r>
      <w:r w:rsidRPr="00F8600A">
        <w:rPr>
          <w:rFonts w:ascii="Times New Roman" w:cs="Times New Roman" w:hint="eastAsia"/>
          <w:sz w:val="24"/>
          <w:szCs w:val="24"/>
        </w:rPr>
        <w:t>中国信息通信科技集团有限公司</w:t>
      </w:r>
      <w:r>
        <w:rPr>
          <w:rFonts w:ascii="Times New Roman" w:cs="Times New Roman" w:hint="eastAsia"/>
          <w:sz w:val="24"/>
          <w:szCs w:val="24"/>
        </w:rPr>
        <w:t>分别</w:t>
      </w:r>
      <w:r w:rsidRPr="00575B73">
        <w:rPr>
          <w:rFonts w:ascii="Times New Roman" w:cs="Times New Roman"/>
          <w:sz w:val="24"/>
          <w:szCs w:val="24"/>
        </w:rPr>
        <w:t>做出以下承诺</w:t>
      </w:r>
      <w:r>
        <w:rPr>
          <w:rFonts w:ascii="Times New Roman" w:cs="Times New Roman" w:hint="eastAsia"/>
          <w:sz w:val="24"/>
          <w:szCs w:val="24"/>
        </w:rPr>
        <w:t>。</w:t>
      </w:r>
    </w:p>
    <w:p w14:paraId="4D789824" w14:textId="77777777" w:rsidR="004A27C2" w:rsidRPr="00575B73" w:rsidRDefault="004A27C2" w:rsidP="00EF3B24">
      <w:pPr>
        <w:spacing w:beforeLines="50" w:before="156" w:line="360" w:lineRule="auto"/>
        <w:ind w:firstLineChars="200" w:firstLine="480"/>
        <w:jc w:val="both"/>
        <w:rPr>
          <w:rFonts w:ascii="Times New Roman" w:cs="Times New Roman"/>
          <w:sz w:val="24"/>
          <w:szCs w:val="24"/>
        </w:rPr>
      </w:pPr>
      <w:r w:rsidRPr="000E75DB">
        <w:rPr>
          <w:rFonts w:ascii="Times New Roman" w:cs="Times New Roman" w:hint="eastAsia"/>
          <w:sz w:val="24"/>
          <w:szCs w:val="24"/>
        </w:rPr>
        <w:t>电信科学技术研究院</w:t>
      </w:r>
      <w:r>
        <w:rPr>
          <w:rFonts w:ascii="Times New Roman" w:cs="Times New Roman" w:hint="eastAsia"/>
          <w:sz w:val="24"/>
          <w:szCs w:val="24"/>
        </w:rPr>
        <w:t>承诺：</w:t>
      </w:r>
    </w:p>
    <w:p w14:paraId="26718934"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w:t>
      </w:r>
      <w:r w:rsidRPr="004A27C2">
        <w:rPr>
          <w:rFonts w:ascii="Times New Roman" w:cs="Times New Roman" w:hint="eastAsia"/>
          <w:sz w:val="24"/>
          <w:szCs w:val="24"/>
        </w:rPr>
        <w:t>1</w:t>
      </w:r>
      <w:r w:rsidRPr="004A27C2">
        <w:rPr>
          <w:rFonts w:ascii="Times New Roman" w:cs="Times New Roman" w:hint="eastAsia"/>
          <w:sz w:val="24"/>
          <w:szCs w:val="24"/>
        </w:rPr>
        <w:t>、继续保证上市公司的独立性，不越权干预上市公司经营管理活动，不侵占上市公司利益。</w:t>
      </w:r>
    </w:p>
    <w:p w14:paraId="6CA9477C"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2</w:t>
      </w:r>
      <w:r w:rsidRPr="004A27C2">
        <w:rPr>
          <w:rFonts w:ascii="Times New Roman" w:cs="Times New Roman" w:hint="eastAsia"/>
          <w:sz w:val="24"/>
          <w:szCs w:val="24"/>
        </w:rPr>
        <w:t>、自</w:t>
      </w:r>
      <w:proofErr w:type="gramStart"/>
      <w:r w:rsidRPr="004A27C2">
        <w:rPr>
          <w:rFonts w:ascii="Times New Roman" w:cs="Times New Roman" w:hint="eastAsia"/>
          <w:sz w:val="24"/>
          <w:szCs w:val="24"/>
        </w:rPr>
        <w:t>本承诺</w:t>
      </w:r>
      <w:proofErr w:type="gramEnd"/>
      <w:r w:rsidRPr="004A27C2">
        <w:rPr>
          <w:rFonts w:ascii="Times New Roman" w:cs="Times New Roman" w:hint="eastAsia"/>
          <w:sz w:val="24"/>
          <w:szCs w:val="24"/>
        </w:rPr>
        <w:t>出具之日起至本次交易实施完毕前，若中国证监会</w:t>
      </w:r>
      <w:proofErr w:type="gramStart"/>
      <w:r w:rsidRPr="004A27C2">
        <w:rPr>
          <w:rFonts w:ascii="Times New Roman" w:cs="Times New Roman" w:hint="eastAsia"/>
          <w:sz w:val="24"/>
          <w:szCs w:val="24"/>
        </w:rPr>
        <w:t>作出</w:t>
      </w:r>
      <w:proofErr w:type="gramEnd"/>
      <w:r w:rsidRPr="004A27C2">
        <w:rPr>
          <w:rFonts w:ascii="Times New Roman" w:cs="Times New Roman" w:hint="eastAsia"/>
          <w:sz w:val="24"/>
          <w:szCs w:val="24"/>
        </w:rPr>
        <w:t>关于填补回报措施及其承诺的其他新的监管规定的，且上述承诺不能满足中国证监会该等规定时，承诺届时将按照中国证监会的最新规定出具补充承诺。</w:t>
      </w:r>
    </w:p>
    <w:p w14:paraId="352857B5"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3</w:t>
      </w:r>
      <w:r w:rsidRPr="004A27C2">
        <w:rPr>
          <w:rFonts w:ascii="Times New Roman" w:cs="Times New Roman" w:hint="eastAsia"/>
          <w:sz w:val="24"/>
          <w:szCs w:val="24"/>
        </w:rPr>
        <w:t>、承诺切实履行上市公司制定的有关防范即期回报被摊</w:t>
      </w:r>
      <w:proofErr w:type="gramStart"/>
      <w:r w:rsidRPr="004A27C2">
        <w:rPr>
          <w:rFonts w:ascii="Times New Roman" w:cs="Times New Roman" w:hint="eastAsia"/>
          <w:sz w:val="24"/>
          <w:szCs w:val="24"/>
        </w:rPr>
        <w:t>薄措施</w:t>
      </w:r>
      <w:proofErr w:type="gramEnd"/>
      <w:r w:rsidRPr="004A27C2">
        <w:rPr>
          <w:rFonts w:ascii="Times New Roman" w:cs="Times New Roman" w:hint="eastAsia"/>
          <w:sz w:val="24"/>
          <w:szCs w:val="24"/>
        </w:rPr>
        <w:t>以及本公司对此</w:t>
      </w:r>
      <w:proofErr w:type="gramStart"/>
      <w:r w:rsidRPr="004A27C2">
        <w:rPr>
          <w:rFonts w:ascii="Times New Roman" w:cs="Times New Roman" w:hint="eastAsia"/>
          <w:sz w:val="24"/>
          <w:szCs w:val="24"/>
        </w:rPr>
        <w:t>作出</w:t>
      </w:r>
      <w:proofErr w:type="gramEnd"/>
      <w:r w:rsidRPr="004A27C2">
        <w:rPr>
          <w:rFonts w:ascii="Times New Roman" w:cs="Times New Roman" w:hint="eastAsia"/>
          <w:sz w:val="24"/>
          <w:szCs w:val="24"/>
        </w:rPr>
        <w:t>的任何有关防范即期回报被摊</w:t>
      </w:r>
      <w:proofErr w:type="gramStart"/>
      <w:r w:rsidRPr="004A27C2">
        <w:rPr>
          <w:rFonts w:ascii="Times New Roman" w:cs="Times New Roman" w:hint="eastAsia"/>
          <w:sz w:val="24"/>
          <w:szCs w:val="24"/>
        </w:rPr>
        <w:t>薄措施</w:t>
      </w:r>
      <w:proofErr w:type="gramEnd"/>
      <w:r w:rsidRPr="004A27C2">
        <w:rPr>
          <w:rFonts w:ascii="Times New Roman" w:cs="Times New Roman" w:hint="eastAsia"/>
          <w:sz w:val="24"/>
          <w:szCs w:val="24"/>
        </w:rPr>
        <w:t>的承诺，若违反该等承诺并给上市</w:t>
      </w:r>
      <w:r w:rsidRPr="004A27C2">
        <w:rPr>
          <w:rFonts w:ascii="Times New Roman" w:cs="Times New Roman" w:hint="eastAsia"/>
          <w:sz w:val="24"/>
          <w:szCs w:val="24"/>
        </w:rPr>
        <w:lastRenderedPageBreak/>
        <w:t>公司或者投资者造成损失的，愿意依法承担对上市公司或者投资者的补偿责任。”</w:t>
      </w:r>
    </w:p>
    <w:p w14:paraId="67B997BD" w14:textId="77777777" w:rsidR="004A27C2" w:rsidRDefault="004A27C2" w:rsidP="00EF3B24">
      <w:pPr>
        <w:spacing w:beforeLines="50" w:before="156" w:line="360" w:lineRule="auto"/>
        <w:ind w:firstLineChars="200" w:firstLine="480"/>
        <w:jc w:val="both"/>
        <w:rPr>
          <w:rFonts w:ascii="Times New Roman" w:cs="Times New Roman"/>
          <w:sz w:val="24"/>
          <w:szCs w:val="24"/>
        </w:rPr>
      </w:pPr>
      <w:r w:rsidRPr="00F8600A">
        <w:rPr>
          <w:rFonts w:ascii="Times New Roman" w:cs="Times New Roman" w:hint="eastAsia"/>
          <w:sz w:val="24"/>
          <w:szCs w:val="24"/>
        </w:rPr>
        <w:t>中国信息通信科技集团有限公司</w:t>
      </w:r>
      <w:r>
        <w:rPr>
          <w:rFonts w:ascii="Times New Roman" w:cs="Times New Roman" w:hint="eastAsia"/>
          <w:sz w:val="24"/>
          <w:szCs w:val="24"/>
        </w:rPr>
        <w:t>承诺：</w:t>
      </w:r>
    </w:p>
    <w:p w14:paraId="55FF1775"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w:t>
      </w:r>
      <w:r w:rsidRPr="004A27C2">
        <w:rPr>
          <w:rFonts w:ascii="Times New Roman" w:cs="Times New Roman" w:hint="eastAsia"/>
          <w:sz w:val="24"/>
          <w:szCs w:val="24"/>
        </w:rPr>
        <w:t>1</w:t>
      </w:r>
      <w:r w:rsidRPr="004A27C2">
        <w:rPr>
          <w:rFonts w:ascii="Times New Roman" w:cs="Times New Roman" w:hint="eastAsia"/>
          <w:sz w:val="24"/>
          <w:szCs w:val="24"/>
        </w:rPr>
        <w:t>、继续保证上市公司的独立性，不越权干预上市公司经营管理活动，不侵占上市公司利益。</w:t>
      </w:r>
    </w:p>
    <w:p w14:paraId="3633CFA0"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2</w:t>
      </w:r>
      <w:r w:rsidRPr="004A27C2">
        <w:rPr>
          <w:rFonts w:ascii="Times New Roman" w:cs="Times New Roman" w:hint="eastAsia"/>
          <w:sz w:val="24"/>
          <w:szCs w:val="24"/>
        </w:rPr>
        <w:t>、自</w:t>
      </w:r>
      <w:proofErr w:type="gramStart"/>
      <w:r w:rsidRPr="004A27C2">
        <w:rPr>
          <w:rFonts w:ascii="Times New Roman" w:cs="Times New Roman" w:hint="eastAsia"/>
          <w:sz w:val="24"/>
          <w:szCs w:val="24"/>
        </w:rPr>
        <w:t>本承诺</w:t>
      </w:r>
      <w:proofErr w:type="gramEnd"/>
      <w:r w:rsidRPr="004A27C2">
        <w:rPr>
          <w:rFonts w:ascii="Times New Roman" w:cs="Times New Roman" w:hint="eastAsia"/>
          <w:sz w:val="24"/>
          <w:szCs w:val="24"/>
        </w:rPr>
        <w:t>出具之日起至本次交易实施完毕前，若中国证监会、上海证券交易所</w:t>
      </w:r>
      <w:proofErr w:type="gramStart"/>
      <w:r w:rsidRPr="004A27C2">
        <w:rPr>
          <w:rFonts w:ascii="Times New Roman" w:cs="Times New Roman" w:hint="eastAsia"/>
          <w:sz w:val="24"/>
          <w:szCs w:val="24"/>
        </w:rPr>
        <w:t>作出</w:t>
      </w:r>
      <w:proofErr w:type="gramEnd"/>
      <w:r w:rsidRPr="004A27C2">
        <w:rPr>
          <w:rFonts w:ascii="Times New Roman" w:cs="Times New Roman" w:hint="eastAsia"/>
          <w:sz w:val="24"/>
          <w:szCs w:val="24"/>
        </w:rPr>
        <w:t>关于填补回报措施及其承诺的其他新的监管规定的，且上述承诺不能满足中国证监会、上海证券交易所该等规定时，承诺届时将按照中国证监会、上海证券交易所的最新规定出具补充承诺。</w:t>
      </w:r>
    </w:p>
    <w:p w14:paraId="7CB10B15"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3</w:t>
      </w:r>
      <w:r w:rsidRPr="004A27C2">
        <w:rPr>
          <w:rFonts w:ascii="Times New Roman" w:cs="Times New Roman" w:hint="eastAsia"/>
          <w:sz w:val="24"/>
          <w:szCs w:val="24"/>
        </w:rPr>
        <w:t>、承诺切实履行上市公司制定的有关防范即期回报被摊</w:t>
      </w:r>
      <w:proofErr w:type="gramStart"/>
      <w:r w:rsidRPr="004A27C2">
        <w:rPr>
          <w:rFonts w:ascii="Times New Roman" w:cs="Times New Roman" w:hint="eastAsia"/>
          <w:sz w:val="24"/>
          <w:szCs w:val="24"/>
        </w:rPr>
        <w:t>薄措施</w:t>
      </w:r>
      <w:proofErr w:type="gramEnd"/>
      <w:r w:rsidRPr="004A27C2">
        <w:rPr>
          <w:rFonts w:ascii="Times New Roman" w:cs="Times New Roman" w:hint="eastAsia"/>
          <w:sz w:val="24"/>
          <w:szCs w:val="24"/>
        </w:rPr>
        <w:t>以及本公司对此</w:t>
      </w:r>
      <w:proofErr w:type="gramStart"/>
      <w:r w:rsidRPr="004A27C2">
        <w:rPr>
          <w:rFonts w:ascii="Times New Roman" w:cs="Times New Roman" w:hint="eastAsia"/>
          <w:sz w:val="24"/>
          <w:szCs w:val="24"/>
        </w:rPr>
        <w:t>作出</w:t>
      </w:r>
      <w:proofErr w:type="gramEnd"/>
      <w:r w:rsidRPr="004A27C2">
        <w:rPr>
          <w:rFonts w:ascii="Times New Roman" w:cs="Times New Roman" w:hint="eastAsia"/>
          <w:sz w:val="24"/>
          <w:szCs w:val="24"/>
        </w:rPr>
        <w:t>的任何有关防范即期回报被摊</w:t>
      </w:r>
      <w:proofErr w:type="gramStart"/>
      <w:r w:rsidRPr="004A27C2">
        <w:rPr>
          <w:rFonts w:ascii="Times New Roman" w:cs="Times New Roman" w:hint="eastAsia"/>
          <w:sz w:val="24"/>
          <w:szCs w:val="24"/>
        </w:rPr>
        <w:t>薄措施</w:t>
      </w:r>
      <w:proofErr w:type="gramEnd"/>
      <w:r w:rsidRPr="004A27C2">
        <w:rPr>
          <w:rFonts w:ascii="Times New Roman" w:cs="Times New Roman" w:hint="eastAsia"/>
          <w:sz w:val="24"/>
          <w:szCs w:val="24"/>
        </w:rPr>
        <w:t>的承诺，若违反该等承诺并给上市公司或者投资者造成损失的，愿意依法承担对上市公司或者投资者的补偿责任。”</w:t>
      </w:r>
    </w:p>
    <w:p w14:paraId="2F031C4A" w14:textId="77777777" w:rsidR="004A27C2" w:rsidRPr="00575B73" w:rsidRDefault="004A27C2" w:rsidP="00EF3B24">
      <w:pPr>
        <w:spacing w:beforeLines="50" w:before="156" w:line="360" w:lineRule="auto"/>
        <w:ind w:firstLineChars="200" w:firstLine="480"/>
        <w:jc w:val="both"/>
        <w:rPr>
          <w:rFonts w:ascii="Times New Roman" w:cs="Times New Roman"/>
          <w:sz w:val="24"/>
          <w:szCs w:val="24"/>
        </w:rPr>
      </w:pPr>
      <w:r w:rsidRPr="00575B73">
        <w:rPr>
          <w:rFonts w:ascii="Times New Roman" w:cs="Times New Roman"/>
          <w:sz w:val="24"/>
          <w:szCs w:val="24"/>
        </w:rPr>
        <w:t>六、公司董事、高级管理人员对公司填补摊薄即期回报措施能够得到切实履行</w:t>
      </w:r>
      <w:proofErr w:type="gramStart"/>
      <w:r w:rsidRPr="00575B73">
        <w:rPr>
          <w:rFonts w:ascii="Times New Roman" w:cs="Times New Roman"/>
          <w:sz w:val="24"/>
          <w:szCs w:val="24"/>
        </w:rPr>
        <w:t>作出</w:t>
      </w:r>
      <w:proofErr w:type="gramEnd"/>
      <w:r w:rsidRPr="00575B73">
        <w:rPr>
          <w:rFonts w:ascii="Times New Roman" w:cs="Times New Roman"/>
          <w:sz w:val="24"/>
          <w:szCs w:val="24"/>
        </w:rPr>
        <w:t>的承诺</w:t>
      </w:r>
    </w:p>
    <w:p w14:paraId="25611FDF" w14:textId="77777777" w:rsidR="004A27C2" w:rsidRPr="00575B73" w:rsidRDefault="004A27C2" w:rsidP="00EF3B24">
      <w:pPr>
        <w:spacing w:beforeLines="50" w:before="156" w:line="360" w:lineRule="auto"/>
        <w:ind w:firstLineChars="200" w:firstLine="480"/>
        <w:jc w:val="both"/>
        <w:rPr>
          <w:rFonts w:ascii="Times New Roman" w:cs="Times New Roman"/>
          <w:sz w:val="24"/>
          <w:szCs w:val="24"/>
        </w:rPr>
      </w:pPr>
      <w:r w:rsidRPr="00575B73">
        <w:rPr>
          <w:rFonts w:ascii="Times New Roman" w:cs="Times New Roman"/>
          <w:sz w:val="24"/>
          <w:szCs w:val="24"/>
        </w:rPr>
        <w:t>上市公司全体董事及高级管理人员将忠实、勤勉的履行职责，维护公司和全体股东的合法权益，并对公司填补摊薄即期回报措施能够得到切实履行</w:t>
      </w:r>
      <w:proofErr w:type="gramStart"/>
      <w:r w:rsidRPr="00575B73">
        <w:rPr>
          <w:rFonts w:ascii="Times New Roman" w:cs="Times New Roman"/>
          <w:sz w:val="24"/>
          <w:szCs w:val="24"/>
        </w:rPr>
        <w:t>作出</w:t>
      </w:r>
      <w:proofErr w:type="gramEnd"/>
      <w:r w:rsidRPr="00575B73">
        <w:rPr>
          <w:rFonts w:ascii="Times New Roman" w:cs="Times New Roman"/>
          <w:sz w:val="24"/>
          <w:szCs w:val="24"/>
        </w:rPr>
        <w:t>以下承诺：</w:t>
      </w:r>
    </w:p>
    <w:p w14:paraId="1A107173"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w:t>
      </w:r>
      <w:r w:rsidRPr="004A27C2">
        <w:rPr>
          <w:rFonts w:ascii="Times New Roman" w:cs="Times New Roman"/>
          <w:sz w:val="24"/>
          <w:szCs w:val="24"/>
        </w:rPr>
        <w:t>1</w:t>
      </w:r>
      <w:r w:rsidRPr="004A27C2">
        <w:rPr>
          <w:rFonts w:ascii="Times New Roman" w:cs="Times New Roman"/>
          <w:sz w:val="24"/>
          <w:szCs w:val="24"/>
        </w:rPr>
        <w:t>、本人承诺忠实、勤勉地履行职责，维护上市公司和全体股东的合法权益。</w:t>
      </w:r>
      <w:r w:rsidRPr="004A27C2">
        <w:rPr>
          <w:rFonts w:ascii="Times New Roman" w:cs="Times New Roman"/>
          <w:sz w:val="24"/>
          <w:szCs w:val="24"/>
        </w:rPr>
        <w:t xml:space="preserve"> </w:t>
      </w:r>
    </w:p>
    <w:p w14:paraId="03DD0E8A"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2</w:t>
      </w:r>
      <w:r w:rsidRPr="004A27C2">
        <w:rPr>
          <w:rFonts w:ascii="Times New Roman" w:cs="Times New Roman"/>
          <w:sz w:val="24"/>
          <w:szCs w:val="24"/>
        </w:rPr>
        <w:t>、本人承诺</w:t>
      </w:r>
      <w:proofErr w:type="gramStart"/>
      <w:r w:rsidRPr="004A27C2">
        <w:rPr>
          <w:rFonts w:ascii="Times New Roman" w:cs="Times New Roman"/>
          <w:sz w:val="24"/>
          <w:szCs w:val="24"/>
        </w:rPr>
        <w:t>不</w:t>
      </w:r>
      <w:proofErr w:type="gramEnd"/>
      <w:r w:rsidRPr="004A27C2">
        <w:rPr>
          <w:rFonts w:ascii="Times New Roman" w:cs="Times New Roman"/>
          <w:sz w:val="24"/>
          <w:szCs w:val="24"/>
        </w:rPr>
        <w:t>无偿或以不公平条件向其他单位或者个人输送利益，也不采用其他方式损害上市公司利益。</w:t>
      </w:r>
      <w:r w:rsidRPr="004A27C2">
        <w:rPr>
          <w:rFonts w:ascii="Times New Roman" w:cs="Times New Roman"/>
          <w:sz w:val="24"/>
          <w:szCs w:val="24"/>
        </w:rPr>
        <w:t xml:space="preserve"> </w:t>
      </w:r>
    </w:p>
    <w:p w14:paraId="52837BBB"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3</w:t>
      </w:r>
      <w:r w:rsidRPr="004A27C2">
        <w:rPr>
          <w:rFonts w:ascii="Times New Roman" w:cs="Times New Roman"/>
          <w:sz w:val="24"/>
          <w:szCs w:val="24"/>
        </w:rPr>
        <w:t>、本人承诺对本人的职务消费行为进行约束。</w:t>
      </w:r>
      <w:r w:rsidRPr="004A27C2">
        <w:rPr>
          <w:rFonts w:ascii="Times New Roman" w:cs="Times New Roman"/>
          <w:sz w:val="24"/>
          <w:szCs w:val="24"/>
        </w:rPr>
        <w:t xml:space="preserve"> </w:t>
      </w:r>
    </w:p>
    <w:p w14:paraId="192E863C"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4</w:t>
      </w:r>
      <w:r w:rsidRPr="004A27C2">
        <w:rPr>
          <w:rFonts w:ascii="Times New Roman" w:cs="Times New Roman"/>
          <w:sz w:val="24"/>
          <w:szCs w:val="24"/>
        </w:rPr>
        <w:t>、本人承诺不动用上市公司资产从事与履行职责无关的投资、消费活动。</w:t>
      </w:r>
      <w:r w:rsidRPr="004A27C2">
        <w:rPr>
          <w:rFonts w:ascii="Times New Roman" w:cs="Times New Roman"/>
          <w:sz w:val="24"/>
          <w:szCs w:val="24"/>
        </w:rPr>
        <w:t xml:space="preserve"> </w:t>
      </w:r>
    </w:p>
    <w:p w14:paraId="28E06259"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5</w:t>
      </w:r>
      <w:r w:rsidRPr="004A27C2">
        <w:rPr>
          <w:rFonts w:ascii="Times New Roman" w:cs="Times New Roman"/>
          <w:sz w:val="24"/>
          <w:szCs w:val="24"/>
        </w:rPr>
        <w:t>、本人承诺在自身职责和权限范围内，全力促使上市公司董事会或者薪酬与考核委员会制定的薪酬制度与上市公司填补回报措施的执行情况相挂钩。</w:t>
      </w:r>
      <w:r w:rsidRPr="004A27C2">
        <w:rPr>
          <w:rFonts w:ascii="Times New Roman" w:cs="Times New Roman"/>
          <w:sz w:val="24"/>
          <w:szCs w:val="24"/>
        </w:rPr>
        <w:t xml:space="preserve"> </w:t>
      </w:r>
    </w:p>
    <w:p w14:paraId="4329ACCD"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6</w:t>
      </w:r>
      <w:r w:rsidRPr="004A27C2">
        <w:rPr>
          <w:rFonts w:ascii="Times New Roman" w:cs="Times New Roman"/>
          <w:sz w:val="24"/>
          <w:szCs w:val="24"/>
        </w:rPr>
        <w:t>、</w:t>
      </w:r>
      <w:r w:rsidRPr="004A27C2">
        <w:rPr>
          <w:rFonts w:ascii="Times New Roman" w:cs="Times New Roman" w:hint="eastAsia"/>
          <w:sz w:val="24"/>
          <w:szCs w:val="24"/>
        </w:rPr>
        <w:t>若上市公司后续推出股权激励政策，</w:t>
      </w:r>
      <w:r w:rsidRPr="004A27C2">
        <w:rPr>
          <w:rFonts w:ascii="Times New Roman" w:cs="Times New Roman"/>
          <w:sz w:val="24"/>
          <w:szCs w:val="24"/>
        </w:rPr>
        <w:t>本人承诺在自身职责和权限范围内，</w:t>
      </w:r>
      <w:r w:rsidRPr="004A27C2">
        <w:rPr>
          <w:rFonts w:ascii="Times New Roman" w:cs="Times New Roman"/>
          <w:sz w:val="24"/>
          <w:szCs w:val="24"/>
        </w:rPr>
        <w:lastRenderedPageBreak/>
        <w:t>全力促使</w:t>
      </w:r>
      <w:r w:rsidRPr="004A27C2">
        <w:rPr>
          <w:rFonts w:ascii="Times New Roman" w:cs="Times New Roman" w:hint="eastAsia"/>
          <w:sz w:val="24"/>
          <w:szCs w:val="24"/>
        </w:rPr>
        <w:t>股权激励的</w:t>
      </w:r>
      <w:r w:rsidRPr="004A27C2">
        <w:rPr>
          <w:rFonts w:ascii="Times New Roman" w:cs="Times New Roman"/>
          <w:sz w:val="24"/>
          <w:szCs w:val="24"/>
        </w:rPr>
        <w:t>行权条件与上市公司填补回报措施的执行情况相挂钩。</w:t>
      </w:r>
      <w:r w:rsidRPr="004A27C2">
        <w:rPr>
          <w:rFonts w:ascii="Times New Roman" w:cs="Times New Roman"/>
          <w:sz w:val="24"/>
          <w:szCs w:val="24"/>
        </w:rPr>
        <w:t xml:space="preserve"> </w:t>
      </w:r>
    </w:p>
    <w:p w14:paraId="30D6FE5A"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7</w:t>
      </w:r>
      <w:r w:rsidRPr="004A27C2">
        <w:rPr>
          <w:rFonts w:ascii="Times New Roman" w:cs="Times New Roman"/>
          <w:sz w:val="24"/>
          <w:szCs w:val="24"/>
        </w:rPr>
        <w:t>、</w:t>
      </w:r>
      <w:r w:rsidRPr="004A27C2">
        <w:rPr>
          <w:rFonts w:ascii="Times New Roman" w:cs="Times New Roman" w:hint="eastAsia"/>
          <w:sz w:val="24"/>
          <w:szCs w:val="24"/>
        </w:rPr>
        <w:t>在中国证监会、上海证券交易所另行发布填补摊薄即期回报措施及其承诺的相关意见及实施细则后，如果上市公司的相关规定及本人承诺与该等规定不符时，本人承诺将立即按照中国证监会及上海证券交易所的规定出具补充承诺，并积极推进上市公司制定新的规定，以符合中国证监会及上海证券交易所的要求。</w:t>
      </w:r>
    </w:p>
    <w:p w14:paraId="42E8A048" w14:textId="77777777" w:rsidR="004A27C2" w:rsidRPr="004A27C2" w:rsidRDefault="004A27C2"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hint="eastAsia"/>
          <w:sz w:val="24"/>
          <w:szCs w:val="24"/>
        </w:rPr>
        <w:t>8</w:t>
      </w:r>
      <w:r w:rsidRPr="004A27C2">
        <w:rPr>
          <w:rFonts w:ascii="Times New Roman" w:cs="Times New Roman" w:hint="eastAsia"/>
          <w:sz w:val="24"/>
          <w:szCs w:val="24"/>
        </w:rPr>
        <w:t>、</w:t>
      </w:r>
      <w:r w:rsidRPr="004A27C2">
        <w:rPr>
          <w:rFonts w:ascii="Times New Roman" w:cs="Times New Roman"/>
          <w:sz w:val="24"/>
          <w:szCs w:val="24"/>
        </w:rPr>
        <w:t>本人承诺切实履行上市公司制定的有关填补回报措施以及本人对此</w:t>
      </w:r>
      <w:proofErr w:type="gramStart"/>
      <w:r w:rsidRPr="004A27C2">
        <w:rPr>
          <w:rFonts w:ascii="Times New Roman" w:cs="Times New Roman"/>
          <w:sz w:val="24"/>
          <w:szCs w:val="24"/>
        </w:rPr>
        <w:t>作出</w:t>
      </w:r>
      <w:proofErr w:type="gramEnd"/>
      <w:r w:rsidRPr="004A27C2">
        <w:rPr>
          <w:rFonts w:ascii="Times New Roman" w:cs="Times New Roman"/>
          <w:sz w:val="24"/>
          <w:szCs w:val="24"/>
        </w:rPr>
        <w:t>的任何有关填补回报措施的承诺，若本人违反该等承诺并给上市公司或者投资者造成损失的，本人愿意依法承担对上市公司或者投资者的补偿责任。</w:t>
      </w:r>
      <w:r>
        <w:rPr>
          <w:rFonts w:ascii="Times New Roman" w:cs="Times New Roman" w:hint="eastAsia"/>
          <w:sz w:val="24"/>
          <w:szCs w:val="24"/>
        </w:rPr>
        <w:t>”</w:t>
      </w:r>
    </w:p>
    <w:p w14:paraId="3C56AA90" w14:textId="77777777" w:rsidR="007C681E" w:rsidRPr="004A27C2" w:rsidRDefault="007C681E" w:rsidP="00EF3B24">
      <w:pPr>
        <w:spacing w:beforeLines="50" w:before="156" w:line="360" w:lineRule="auto"/>
        <w:ind w:firstLineChars="200" w:firstLine="480"/>
        <w:jc w:val="both"/>
        <w:rPr>
          <w:rFonts w:ascii="Times New Roman" w:cs="Times New Roman"/>
          <w:sz w:val="24"/>
          <w:szCs w:val="24"/>
        </w:rPr>
      </w:pPr>
      <w:r w:rsidRPr="004A27C2">
        <w:rPr>
          <w:rFonts w:ascii="Times New Roman" w:cs="Times New Roman"/>
          <w:sz w:val="24"/>
          <w:szCs w:val="24"/>
        </w:rPr>
        <w:t>特此公告。</w:t>
      </w:r>
    </w:p>
    <w:p w14:paraId="66F3C443" w14:textId="17CDF92A" w:rsidR="007C681E" w:rsidRPr="004A27C2" w:rsidRDefault="007C681E" w:rsidP="00EF3B24">
      <w:pPr>
        <w:spacing w:beforeLines="50" w:before="156" w:line="360" w:lineRule="auto"/>
        <w:ind w:firstLineChars="200" w:firstLine="480"/>
        <w:jc w:val="both"/>
        <w:rPr>
          <w:rFonts w:ascii="Times New Roman" w:cs="Times New Roman"/>
          <w:sz w:val="24"/>
          <w:szCs w:val="24"/>
        </w:rPr>
      </w:pPr>
    </w:p>
    <w:p w14:paraId="53DC6E0A" w14:textId="4A4BAF29" w:rsidR="007C681E" w:rsidRPr="004A27C2" w:rsidRDefault="007C681E" w:rsidP="00EF3B24">
      <w:pPr>
        <w:spacing w:beforeLines="50" w:before="156" w:line="360" w:lineRule="auto"/>
        <w:ind w:firstLineChars="200" w:firstLine="480"/>
        <w:jc w:val="right"/>
        <w:rPr>
          <w:rFonts w:ascii="Times New Roman" w:cs="Times New Roman"/>
          <w:sz w:val="24"/>
          <w:szCs w:val="24"/>
        </w:rPr>
      </w:pPr>
      <w:r w:rsidRPr="004A27C2">
        <w:rPr>
          <w:rFonts w:ascii="Times New Roman" w:cs="Times New Roman" w:hint="eastAsia"/>
          <w:sz w:val="24"/>
          <w:szCs w:val="24"/>
        </w:rPr>
        <w:t>大唐电信科技股份有限公司</w:t>
      </w:r>
      <w:r w:rsidR="009D1632">
        <w:rPr>
          <w:rFonts w:ascii="Times New Roman" w:cs="Times New Roman" w:hint="eastAsia"/>
          <w:sz w:val="24"/>
          <w:szCs w:val="24"/>
        </w:rPr>
        <w:t>董事会</w:t>
      </w:r>
    </w:p>
    <w:p w14:paraId="766BFBF2" w14:textId="3925939D" w:rsidR="009E51AB" w:rsidRPr="004A27C2" w:rsidRDefault="00762E59" w:rsidP="009E51AB">
      <w:pPr>
        <w:spacing w:beforeLines="50" w:before="156" w:line="360" w:lineRule="auto"/>
        <w:ind w:firstLineChars="200" w:firstLine="480"/>
        <w:jc w:val="right"/>
        <w:rPr>
          <w:rFonts w:ascii="Times New Roman" w:cs="Times New Roman"/>
          <w:sz w:val="24"/>
          <w:szCs w:val="24"/>
        </w:rPr>
      </w:pPr>
      <w:r>
        <w:rPr>
          <w:rFonts w:ascii="Times New Roman" w:cs="Times New Roman" w:hint="eastAsia"/>
          <w:sz w:val="24"/>
          <w:szCs w:val="24"/>
        </w:rPr>
        <w:t>2021</w:t>
      </w:r>
      <w:r w:rsidR="009E51AB" w:rsidRPr="004A27C2">
        <w:rPr>
          <w:rFonts w:ascii="Times New Roman" w:cs="Times New Roman" w:hint="eastAsia"/>
          <w:sz w:val="24"/>
          <w:szCs w:val="24"/>
        </w:rPr>
        <w:t>年</w:t>
      </w:r>
      <w:r>
        <w:rPr>
          <w:rFonts w:ascii="Times New Roman" w:cs="Times New Roman" w:hint="eastAsia"/>
          <w:sz w:val="24"/>
          <w:szCs w:val="24"/>
        </w:rPr>
        <w:t>8</w:t>
      </w:r>
      <w:r w:rsidR="009E51AB" w:rsidRPr="004A27C2">
        <w:rPr>
          <w:rFonts w:ascii="Times New Roman" w:cs="Times New Roman" w:hint="eastAsia"/>
          <w:sz w:val="24"/>
          <w:szCs w:val="24"/>
        </w:rPr>
        <w:t>月</w:t>
      </w:r>
      <w:r>
        <w:rPr>
          <w:rFonts w:ascii="Times New Roman" w:cs="Times New Roman" w:hint="eastAsia"/>
          <w:sz w:val="24"/>
          <w:szCs w:val="24"/>
        </w:rPr>
        <w:t>28</w:t>
      </w:r>
      <w:r w:rsidR="009E51AB" w:rsidRPr="004A27C2">
        <w:rPr>
          <w:rFonts w:ascii="Times New Roman" w:cs="Times New Roman" w:hint="eastAsia"/>
          <w:sz w:val="24"/>
          <w:szCs w:val="24"/>
        </w:rPr>
        <w:t>日</w:t>
      </w:r>
    </w:p>
    <w:p w14:paraId="5EE9D4B3" w14:textId="71470458" w:rsidR="007C681E" w:rsidRDefault="007C681E" w:rsidP="007C681E">
      <w:pPr>
        <w:pStyle w:val="a5"/>
        <w:spacing w:before="3"/>
        <w:ind w:left="0"/>
        <w:jc w:val="center"/>
        <w:rPr>
          <w:b/>
          <w:sz w:val="31"/>
        </w:rPr>
      </w:pPr>
      <w:bookmarkStart w:id="1" w:name="_GoBack"/>
      <w:bookmarkEnd w:id="1"/>
    </w:p>
    <w:sectPr w:rsidR="007C68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8C9D" w14:textId="77777777" w:rsidR="00C57B9D" w:rsidRDefault="00C57B9D" w:rsidP="007C681E">
      <w:r>
        <w:separator/>
      </w:r>
    </w:p>
  </w:endnote>
  <w:endnote w:type="continuationSeparator" w:id="0">
    <w:p w14:paraId="68F8A24D" w14:textId="77777777" w:rsidR="00C57B9D" w:rsidRDefault="00C57B9D" w:rsidP="007C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A30C3" w14:textId="77777777" w:rsidR="007C681E" w:rsidRDefault="00C57B9D">
    <w:pPr>
      <w:pStyle w:val="a5"/>
      <w:spacing w:line="14" w:lineRule="auto"/>
      <w:rPr>
        <w:sz w:val="20"/>
      </w:rPr>
    </w:pPr>
    <w:r>
      <w:pict w14:anchorId="324C595A">
        <v:shapetype id="_x0000_t202" coordsize="21600,21600" o:spt="202" path="m,l,21600r21600,l21600,xe">
          <v:stroke joinstyle="miter"/>
          <v:path gradientshapeok="t" o:connecttype="rect"/>
        </v:shapetype>
        <v:shape id="_x0000_s2049" type="#_x0000_t202" style="position:absolute;left:0;text-align:left;margin-left:293.35pt;margin-top:781.4pt;width:8.5pt;height:12pt;z-index:-251658752;mso-position-horizontal-relative:page;mso-position-vertical-relative:page" filled="f" stroked="f">
          <v:textbox inset="0,0,0,0">
            <w:txbxContent>
              <w:p w14:paraId="360CA1B8" w14:textId="77777777" w:rsidR="007C681E" w:rsidRDefault="007C681E">
                <w:pPr>
                  <w:spacing w:before="12"/>
                  <w:ind w:left="40"/>
                  <w:rPr>
                    <w:rFonts w:ascii="Times New Roman"/>
                    <w:sz w:val="18"/>
                  </w:rPr>
                </w:pPr>
                <w:r>
                  <w:fldChar w:fldCharType="begin"/>
                </w:r>
                <w:r>
                  <w:rPr>
                    <w:rFonts w:ascii="Times New Roman"/>
                    <w:sz w:val="18"/>
                  </w:rPr>
                  <w:instrText xml:space="preserve"> PAGE </w:instrText>
                </w:r>
                <w:r>
                  <w:fldChar w:fldCharType="separate"/>
                </w:r>
                <w:r w:rsidR="00762E59">
                  <w:rPr>
                    <w:rFonts w:ascii="Times New Roman"/>
                    <w:noProof/>
                    <w:sz w:val="18"/>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56FD3" w14:textId="77777777" w:rsidR="00C57B9D" w:rsidRDefault="00C57B9D" w:rsidP="007C681E">
      <w:r>
        <w:separator/>
      </w:r>
    </w:p>
  </w:footnote>
  <w:footnote w:type="continuationSeparator" w:id="0">
    <w:p w14:paraId="4E82FF44" w14:textId="77777777" w:rsidR="00C57B9D" w:rsidRDefault="00C57B9D" w:rsidP="007C6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53"/>
    <w:rsid w:val="00047044"/>
    <w:rsid w:val="000D3289"/>
    <w:rsid w:val="00230A53"/>
    <w:rsid w:val="0027006E"/>
    <w:rsid w:val="00296725"/>
    <w:rsid w:val="00343D53"/>
    <w:rsid w:val="00370704"/>
    <w:rsid w:val="0041676B"/>
    <w:rsid w:val="00465E59"/>
    <w:rsid w:val="00466447"/>
    <w:rsid w:val="004A27C2"/>
    <w:rsid w:val="00531F6D"/>
    <w:rsid w:val="00545537"/>
    <w:rsid w:val="00570C7C"/>
    <w:rsid w:val="00602A0D"/>
    <w:rsid w:val="0066378A"/>
    <w:rsid w:val="00762E59"/>
    <w:rsid w:val="007C681E"/>
    <w:rsid w:val="008208B5"/>
    <w:rsid w:val="0087502A"/>
    <w:rsid w:val="008B78D2"/>
    <w:rsid w:val="008C3AF6"/>
    <w:rsid w:val="008D625B"/>
    <w:rsid w:val="00901954"/>
    <w:rsid w:val="009366A8"/>
    <w:rsid w:val="00946079"/>
    <w:rsid w:val="0095479F"/>
    <w:rsid w:val="00985EDB"/>
    <w:rsid w:val="0099491F"/>
    <w:rsid w:val="009B600E"/>
    <w:rsid w:val="009D1632"/>
    <w:rsid w:val="009E51AB"/>
    <w:rsid w:val="00A15E2F"/>
    <w:rsid w:val="00AE5534"/>
    <w:rsid w:val="00AF01C1"/>
    <w:rsid w:val="00B16626"/>
    <w:rsid w:val="00B8626C"/>
    <w:rsid w:val="00C57B9D"/>
    <w:rsid w:val="00C7347A"/>
    <w:rsid w:val="00CA156F"/>
    <w:rsid w:val="00CA6540"/>
    <w:rsid w:val="00DE2B80"/>
    <w:rsid w:val="00E015A3"/>
    <w:rsid w:val="00EE1D74"/>
    <w:rsid w:val="00EE7584"/>
    <w:rsid w:val="00EF3B24"/>
    <w:rsid w:val="00F6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8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E"/>
    <w:pPr>
      <w:widowControl w:val="0"/>
      <w:autoSpaceDE w:val="0"/>
      <w:autoSpaceDN w:val="0"/>
    </w:pPr>
    <w:rPr>
      <w:rFonts w:ascii="宋体" w:eastAsia="宋体" w:hAnsi="宋体" w:cs="宋体"/>
      <w:kern w:val="0"/>
      <w:sz w:val="22"/>
      <w:lang w:val="zh-CN" w:bidi="zh-CN"/>
    </w:rPr>
  </w:style>
  <w:style w:type="paragraph" w:styleId="1">
    <w:name w:val="heading 1"/>
    <w:basedOn w:val="a"/>
    <w:link w:val="1Char"/>
    <w:uiPriority w:val="9"/>
    <w:qFormat/>
    <w:rsid w:val="007C681E"/>
    <w:pPr>
      <w:spacing w:before="158"/>
      <w:ind w:left="7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81E"/>
    <w:rPr>
      <w:sz w:val="18"/>
      <w:szCs w:val="18"/>
    </w:rPr>
  </w:style>
  <w:style w:type="paragraph" w:styleId="a4">
    <w:name w:val="footer"/>
    <w:basedOn w:val="a"/>
    <w:link w:val="Char0"/>
    <w:uiPriority w:val="99"/>
    <w:unhideWhenUsed/>
    <w:rsid w:val="007C681E"/>
    <w:pPr>
      <w:tabs>
        <w:tab w:val="center" w:pos="4153"/>
        <w:tab w:val="right" w:pos="8306"/>
      </w:tabs>
      <w:snapToGrid w:val="0"/>
    </w:pPr>
    <w:rPr>
      <w:sz w:val="18"/>
      <w:szCs w:val="18"/>
    </w:rPr>
  </w:style>
  <w:style w:type="character" w:customStyle="1" w:styleId="Char0">
    <w:name w:val="页脚 Char"/>
    <w:basedOn w:val="a0"/>
    <w:link w:val="a4"/>
    <w:uiPriority w:val="99"/>
    <w:rsid w:val="007C681E"/>
    <w:rPr>
      <w:sz w:val="18"/>
      <w:szCs w:val="18"/>
    </w:rPr>
  </w:style>
  <w:style w:type="character" w:customStyle="1" w:styleId="1Char">
    <w:name w:val="标题 1 Char"/>
    <w:basedOn w:val="a0"/>
    <w:link w:val="1"/>
    <w:uiPriority w:val="9"/>
    <w:rsid w:val="007C681E"/>
    <w:rPr>
      <w:rFonts w:ascii="宋体" w:eastAsia="宋体" w:hAnsi="宋体" w:cs="宋体"/>
      <w:b/>
      <w:bCs/>
      <w:kern w:val="0"/>
      <w:sz w:val="24"/>
      <w:szCs w:val="24"/>
      <w:lang w:val="zh-CN" w:bidi="zh-CN"/>
    </w:rPr>
  </w:style>
  <w:style w:type="paragraph" w:styleId="a5">
    <w:name w:val="Body Text"/>
    <w:basedOn w:val="a"/>
    <w:link w:val="Char1"/>
    <w:uiPriority w:val="1"/>
    <w:qFormat/>
    <w:rsid w:val="007C681E"/>
    <w:pPr>
      <w:ind w:left="220"/>
    </w:pPr>
    <w:rPr>
      <w:sz w:val="24"/>
      <w:szCs w:val="24"/>
    </w:rPr>
  </w:style>
  <w:style w:type="character" w:customStyle="1" w:styleId="Char1">
    <w:name w:val="正文文本 Char"/>
    <w:basedOn w:val="a0"/>
    <w:link w:val="a5"/>
    <w:uiPriority w:val="1"/>
    <w:rsid w:val="007C681E"/>
    <w:rPr>
      <w:rFonts w:ascii="宋体" w:eastAsia="宋体" w:hAnsi="宋体" w:cs="宋体"/>
      <w:kern w:val="0"/>
      <w:sz w:val="24"/>
      <w:szCs w:val="24"/>
      <w:lang w:val="zh-CN" w:bidi="zh-CN"/>
    </w:rPr>
  </w:style>
  <w:style w:type="paragraph" w:customStyle="1" w:styleId="TableParagraph">
    <w:name w:val="Table Paragraph"/>
    <w:basedOn w:val="a"/>
    <w:uiPriority w:val="1"/>
    <w:qFormat/>
    <w:rsid w:val="007C681E"/>
    <w:pPr>
      <w:adjustRightInd w:val="0"/>
      <w:spacing w:before="72"/>
      <w:ind w:right="12"/>
      <w:jc w:val="right"/>
    </w:pPr>
    <w:rPr>
      <w:rFonts w:ascii="Times New Roman" w:eastAsiaTheme="minorEastAsia" w:hAnsi="Times New Roman" w:cs="Times New Roman"/>
      <w:sz w:val="24"/>
      <w:szCs w:val="24"/>
      <w:lang w:val="en-US" w:bidi="ar-SA"/>
    </w:rPr>
  </w:style>
  <w:style w:type="paragraph" w:customStyle="1" w:styleId="Default">
    <w:name w:val="Default"/>
    <w:rsid w:val="007C681E"/>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uiPriority w:val="2"/>
    <w:semiHidden/>
    <w:unhideWhenUsed/>
    <w:qFormat/>
    <w:rsid w:val="007C68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6">
    <w:name w:val="annotation reference"/>
    <w:basedOn w:val="a0"/>
    <w:uiPriority w:val="99"/>
    <w:semiHidden/>
    <w:unhideWhenUsed/>
    <w:rsid w:val="007C681E"/>
    <w:rPr>
      <w:sz w:val="21"/>
      <w:szCs w:val="21"/>
    </w:rPr>
  </w:style>
  <w:style w:type="paragraph" w:styleId="a7">
    <w:name w:val="annotation text"/>
    <w:basedOn w:val="a"/>
    <w:link w:val="Char2"/>
    <w:uiPriority w:val="99"/>
    <w:semiHidden/>
    <w:unhideWhenUsed/>
    <w:rsid w:val="007C681E"/>
    <w:pPr>
      <w:adjustRightInd w:val="0"/>
    </w:pPr>
    <w:rPr>
      <w:rFonts w:hAnsi="Times New Roman"/>
      <w:lang w:val="en-US" w:bidi="ar-SA"/>
    </w:rPr>
  </w:style>
  <w:style w:type="character" w:customStyle="1" w:styleId="Char2">
    <w:name w:val="批注文字 Char"/>
    <w:basedOn w:val="a0"/>
    <w:link w:val="a7"/>
    <w:uiPriority w:val="99"/>
    <w:semiHidden/>
    <w:rsid w:val="007C681E"/>
    <w:rPr>
      <w:rFonts w:ascii="宋体" w:eastAsia="宋体" w:hAnsi="Times New Roman" w:cs="宋体"/>
      <w:kern w:val="0"/>
      <w:sz w:val="22"/>
    </w:rPr>
  </w:style>
  <w:style w:type="paragraph" w:styleId="a8">
    <w:name w:val="annotation subject"/>
    <w:basedOn w:val="a7"/>
    <w:next w:val="a7"/>
    <w:link w:val="Char3"/>
    <w:uiPriority w:val="99"/>
    <w:semiHidden/>
    <w:unhideWhenUsed/>
    <w:rsid w:val="00296725"/>
    <w:pPr>
      <w:adjustRightInd/>
    </w:pPr>
    <w:rPr>
      <w:rFonts w:hAnsi="宋体"/>
      <w:b/>
      <w:bCs/>
      <w:lang w:val="zh-CN" w:bidi="zh-CN"/>
    </w:rPr>
  </w:style>
  <w:style w:type="character" w:customStyle="1" w:styleId="Char3">
    <w:name w:val="批注主题 Char"/>
    <w:basedOn w:val="Char2"/>
    <w:link w:val="a8"/>
    <w:uiPriority w:val="99"/>
    <w:semiHidden/>
    <w:rsid w:val="00296725"/>
    <w:rPr>
      <w:rFonts w:ascii="宋体" w:eastAsia="宋体" w:hAnsi="宋体" w:cs="宋体"/>
      <w:b/>
      <w:bCs/>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E"/>
    <w:pPr>
      <w:widowControl w:val="0"/>
      <w:autoSpaceDE w:val="0"/>
      <w:autoSpaceDN w:val="0"/>
    </w:pPr>
    <w:rPr>
      <w:rFonts w:ascii="宋体" w:eastAsia="宋体" w:hAnsi="宋体" w:cs="宋体"/>
      <w:kern w:val="0"/>
      <w:sz w:val="22"/>
      <w:lang w:val="zh-CN" w:bidi="zh-CN"/>
    </w:rPr>
  </w:style>
  <w:style w:type="paragraph" w:styleId="1">
    <w:name w:val="heading 1"/>
    <w:basedOn w:val="a"/>
    <w:link w:val="1Char"/>
    <w:uiPriority w:val="9"/>
    <w:qFormat/>
    <w:rsid w:val="007C681E"/>
    <w:pPr>
      <w:spacing w:before="158"/>
      <w:ind w:left="70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81E"/>
    <w:rPr>
      <w:sz w:val="18"/>
      <w:szCs w:val="18"/>
    </w:rPr>
  </w:style>
  <w:style w:type="paragraph" w:styleId="a4">
    <w:name w:val="footer"/>
    <w:basedOn w:val="a"/>
    <w:link w:val="Char0"/>
    <w:uiPriority w:val="99"/>
    <w:unhideWhenUsed/>
    <w:rsid w:val="007C681E"/>
    <w:pPr>
      <w:tabs>
        <w:tab w:val="center" w:pos="4153"/>
        <w:tab w:val="right" w:pos="8306"/>
      </w:tabs>
      <w:snapToGrid w:val="0"/>
    </w:pPr>
    <w:rPr>
      <w:sz w:val="18"/>
      <w:szCs w:val="18"/>
    </w:rPr>
  </w:style>
  <w:style w:type="character" w:customStyle="1" w:styleId="Char0">
    <w:name w:val="页脚 Char"/>
    <w:basedOn w:val="a0"/>
    <w:link w:val="a4"/>
    <w:uiPriority w:val="99"/>
    <w:rsid w:val="007C681E"/>
    <w:rPr>
      <w:sz w:val="18"/>
      <w:szCs w:val="18"/>
    </w:rPr>
  </w:style>
  <w:style w:type="character" w:customStyle="1" w:styleId="1Char">
    <w:name w:val="标题 1 Char"/>
    <w:basedOn w:val="a0"/>
    <w:link w:val="1"/>
    <w:uiPriority w:val="9"/>
    <w:rsid w:val="007C681E"/>
    <w:rPr>
      <w:rFonts w:ascii="宋体" w:eastAsia="宋体" w:hAnsi="宋体" w:cs="宋体"/>
      <w:b/>
      <w:bCs/>
      <w:kern w:val="0"/>
      <w:sz w:val="24"/>
      <w:szCs w:val="24"/>
      <w:lang w:val="zh-CN" w:bidi="zh-CN"/>
    </w:rPr>
  </w:style>
  <w:style w:type="paragraph" w:styleId="a5">
    <w:name w:val="Body Text"/>
    <w:basedOn w:val="a"/>
    <w:link w:val="Char1"/>
    <w:uiPriority w:val="1"/>
    <w:qFormat/>
    <w:rsid w:val="007C681E"/>
    <w:pPr>
      <w:ind w:left="220"/>
    </w:pPr>
    <w:rPr>
      <w:sz w:val="24"/>
      <w:szCs w:val="24"/>
    </w:rPr>
  </w:style>
  <w:style w:type="character" w:customStyle="1" w:styleId="Char1">
    <w:name w:val="正文文本 Char"/>
    <w:basedOn w:val="a0"/>
    <w:link w:val="a5"/>
    <w:uiPriority w:val="1"/>
    <w:rsid w:val="007C681E"/>
    <w:rPr>
      <w:rFonts w:ascii="宋体" w:eastAsia="宋体" w:hAnsi="宋体" w:cs="宋体"/>
      <w:kern w:val="0"/>
      <w:sz w:val="24"/>
      <w:szCs w:val="24"/>
      <w:lang w:val="zh-CN" w:bidi="zh-CN"/>
    </w:rPr>
  </w:style>
  <w:style w:type="paragraph" w:customStyle="1" w:styleId="TableParagraph">
    <w:name w:val="Table Paragraph"/>
    <w:basedOn w:val="a"/>
    <w:uiPriority w:val="1"/>
    <w:qFormat/>
    <w:rsid w:val="007C681E"/>
    <w:pPr>
      <w:adjustRightInd w:val="0"/>
      <w:spacing w:before="72"/>
      <w:ind w:right="12"/>
      <w:jc w:val="right"/>
    </w:pPr>
    <w:rPr>
      <w:rFonts w:ascii="Times New Roman" w:eastAsiaTheme="minorEastAsia" w:hAnsi="Times New Roman" w:cs="Times New Roman"/>
      <w:sz w:val="24"/>
      <w:szCs w:val="24"/>
      <w:lang w:val="en-US" w:bidi="ar-SA"/>
    </w:rPr>
  </w:style>
  <w:style w:type="paragraph" w:customStyle="1" w:styleId="Default">
    <w:name w:val="Default"/>
    <w:rsid w:val="007C681E"/>
    <w:pPr>
      <w:widowControl w:val="0"/>
      <w:autoSpaceDE w:val="0"/>
      <w:autoSpaceDN w:val="0"/>
      <w:adjustRightInd w:val="0"/>
    </w:pPr>
    <w:rPr>
      <w:rFonts w:ascii="宋体" w:hAnsi="宋体" w:cs="宋体"/>
      <w:color w:val="000000"/>
      <w:kern w:val="0"/>
      <w:sz w:val="24"/>
      <w:szCs w:val="24"/>
    </w:rPr>
  </w:style>
  <w:style w:type="table" w:customStyle="1" w:styleId="TableNormal">
    <w:name w:val="Table Normal"/>
    <w:uiPriority w:val="2"/>
    <w:semiHidden/>
    <w:unhideWhenUsed/>
    <w:qFormat/>
    <w:rsid w:val="007C68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6">
    <w:name w:val="annotation reference"/>
    <w:basedOn w:val="a0"/>
    <w:uiPriority w:val="99"/>
    <w:semiHidden/>
    <w:unhideWhenUsed/>
    <w:rsid w:val="007C681E"/>
    <w:rPr>
      <w:sz w:val="21"/>
      <w:szCs w:val="21"/>
    </w:rPr>
  </w:style>
  <w:style w:type="paragraph" w:styleId="a7">
    <w:name w:val="annotation text"/>
    <w:basedOn w:val="a"/>
    <w:link w:val="Char2"/>
    <w:uiPriority w:val="99"/>
    <w:semiHidden/>
    <w:unhideWhenUsed/>
    <w:rsid w:val="007C681E"/>
    <w:pPr>
      <w:adjustRightInd w:val="0"/>
    </w:pPr>
    <w:rPr>
      <w:rFonts w:hAnsi="Times New Roman"/>
      <w:lang w:val="en-US" w:bidi="ar-SA"/>
    </w:rPr>
  </w:style>
  <w:style w:type="character" w:customStyle="1" w:styleId="Char2">
    <w:name w:val="批注文字 Char"/>
    <w:basedOn w:val="a0"/>
    <w:link w:val="a7"/>
    <w:uiPriority w:val="99"/>
    <w:semiHidden/>
    <w:rsid w:val="007C681E"/>
    <w:rPr>
      <w:rFonts w:ascii="宋体" w:eastAsia="宋体" w:hAnsi="Times New Roman" w:cs="宋体"/>
      <w:kern w:val="0"/>
      <w:sz w:val="22"/>
    </w:rPr>
  </w:style>
  <w:style w:type="paragraph" w:styleId="a8">
    <w:name w:val="annotation subject"/>
    <w:basedOn w:val="a7"/>
    <w:next w:val="a7"/>
    <w:link w:val="Char3"/>
    <w:uiPriority w:val="99"/>
    <w:semiHidden/>
    <w:unhideWhenUsed/>
    <w:rsid w:val="00296725"/>
    <w:pPr>
      <w:adjustRightInd/>
    </w:pPr>
    <w:rPr>
      <w:rFonts w:hAnsi="宋体"/>
      <w:b/>
      <w:bCs/>
      <w:lang w:val="zh-CN" w:bidi="zh-CN"/>
    </w:rPr>
  </w:style>
  <w:style w:type="character" w:customStyle="1" w:styleId="Char3">
    <w:name w:val="批注主题 Char"/>
    <w:basedOn w:val="Char2"/>
    <w:link w:val="a8"/>
    <w:uiPriority w:val="99"/>
    <w:semiHidden/>
    <w:rsid w:val="00296725"/>
    <w:rPr>
      <w:rFonts w:ascii="宋体" w:eastAsia="宋体" w:hAnsi="宋体" w:cs="宋体"/>
      <w:b/>
      <w:bCs/>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ruijun.li@outlook.com</dc:creator>
  <cp:keywords/>
  <dc:description/>
  <cp:lastModifiedBy>wangqingyu     王清宇</cp:lastModifiedBy>
  <cp:revision>34</cp:revision>
  <dcterms:created xsi:type="dcterms:W3CDTF">2021-06-16T01:48:00Z</dcterms:created>
  <dcterms:modified xsi:type="dcterms:W3CDTF">2021-08-27T08:12:00Z</dcterms:modified>
</cp:coreProperties>
</file>